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BBD" w14:textId="0148D22C" w:rsidR="00116AE3" w:rsidRPr="00676E09" w:rsidRDefault="00116AE3" w:rsidP="00116AE3">
      <w:pPr>
        <w:pStyle w:val="Heading1"/>
        <w:spacing w:before="0" w:after="0"/>
        <w:jc w:val="center"/>
        <w:rPr>
          <w:rFonts w:ascii="Calibri" w:hAnsi="Calibri"/>
          <w:b w:val="0"/>
          <w:bCs w:val="0"/>
          <w:sz w:val="28"/>
          <w:szCs w:val="28"/>
          <w:lang w:val="fr-FR"/>
        </w:rPr>
      </w:pPr>
      <w:r w:rsidRPr="009B4785">
        <w:rPr>
          <w:rFonts w:ascii="Calibri" w:hAnsi="Calibri"/>
          <w:b w:val="0"/>
          <w:bCs w:val="0"/>
          <w:sz w:val="28"/>
          <w:szCs w:val="28"/>
        </w:rPr>
        <w:t>Note conceptuelle pour une session thématique sur</w:t>
      </w:r>
    </w:p>
    <w:p w14:paraId="182FE00B" w14:textId="77777777" w:rsidR="00116AE3" w:rsidRPr="00676E09" w:rsidRDefault="00116AE3" w:rsidP="00116AE3">
      <w:pPr>
        <w:pStyle w:val="Heading1"/>
        <w:spacing w:before="0" w:after="0"/>
        <w:jc w:val="center"/>
        <w:rPr>
          <w:sz w:val="36"/>
          <w:szCs w:val="36"/>
          <w:lang w:val="fr-FR"/>
        </w:rPr>
      </w:pPr>
    </w:p>
    <w:p w14:paraId="432472B4" w14:textId="575752EC" w:rsidR="00EE0A0E" w:rsidRPr="00676E09" w:rsidRDefault="00EE0A0E" w:rsidP="00EE0A0E">
      <w:pPr>
        <w:spacing w:before="200"/>
        <w:jc w:val="center"/>
        <w:rPr>
          <w:rFonts w:ascii="Cera Pro" w:eastAsia="Times New Roman" w:hAnsi="Cera Pro" w:cs="Times New Roman"/>
          <w:b/>
          <w:bCs/>
          <w:color w:val="ED7D31" w:themeColor="accent2"/>
          <w:kern w:val="36"/>
          <w:sz w:val="40"/>
          <w:szCs w:val="40"/>
          <w:lang w:val="fr-FR" w:eastAsia="fr-FR"/>
        </w:rPr>
      </w:pPr>
      <w:r w:rsidRPr="00EE0A0E">
        <w:rPr>
          <w:rFonts w:ascii="Cera Pro" w:eastAsia="Times New Roman" w:hAnsi="Cera Pro" w:cs="Times New Roman"/>
          <w:b/>
          <w:bCs/>
          <w:color w:val="ED7D31" w:themeColor="accent2"/>
          <w:kern w:val="36"/>
          <w:sz w:val="40"/>
          <w:szCs w:val="40"/>
          <w:lang w:eastAsia="fr-FR"/>
        </w:rPr>
        <w:t xml:space="preserve">Travail décent pour </w:t>
      </w:r>
      <w:r w:rsidR="009A57C5">
        <w:rPr>
          <w:rFonts w:ascii="Cera Pro" w:eastAsia="Times New Roman" w:hAnsi="Cera Pro" w:cs="Times New Roman"/>
          <w:b/>
          <w:bCs/>
          <w:color w:val="ED7D31" w:themeColor="accent2"/>
          <w:kern w:val="36"/>
          <w:sz w:val="40"/>
          <w:szCs w:val="40"/>
          <w:lang w:eastAsia="fr-FR"/>
        </w:rPr>
        <w:t>les Jeunes</w:t>
      </w:r>
    </w:p>
    <w:p w14:paraId="09032BCB" w14:textId="77777777" w:rsidR="00116AE3" w:rsidRPr="00676E09" w:rsidRDefault="00116AE3" w:rsidP="00116AE3">
      <w:pPr>
        <w:pStyle w:val="Heading1"/>
        <w:spacing w:after="0"/>
        <w:jc w:val="center"/>
        <w:rPr>
          <w:rFonts w:ascii="Calibri" w:hAnsi="Calibri"/>
          <w:b w:val="0"/>
          <w:bCs w:val="0"/>
          <w:sz w:val="28"/>
          <w:szCs w:val="28"/>
          <w:lang w:val="fr-FR"/>
        </w:rPr>
      </w:pPr>
      <w:proofErr w:type="gramStart"/>
      <w:r w:rsidRPr="009B4785">
        <w:rPr>
          <w:rFonts w:ascii="Calibri" w:hAnsi="Calibri"/>
          <w:b w:val="0"/>
          <w:bCs w:val="0"/>
          <w:sz w:val="28"/>
          <w:szCs w:val="28"/>
        </w:rPr>
        <w:t>à</w:t>
      </w:r>
      <w:proofErr w:type="gramEnd"/>
      <w:r w:rsidRPr="009B4785">
        <w:rPr>
          <w:rFonts w:ascii="Calibri" w:hAnsi="Calibri"/>
          <w:b w:val="0"/>
          <w:bCs w:val="0"/>
          <w:sz w:val="28"/>
          <w:szCs w:val="28"/>
        </w:rPr>
        <w:t xml:space="preserve"> la 6e Conférence mondiale sur l'élimination du travail des enfants, Marrakech, Maroc</w:t>
      </w:r>
    </w:p>
    <w:p w14:paraId="59B3BF92" w14:textId="647FD6DF" w:rsidR="00116AE3" w:rsidRPr="002D6A51" w:rsidRDefault="00116AE3" w:rsidP="00116AE3">
      <w:pPr>
        <w:pStyle w:val="Heading1"/>
        <w:spacing w:after="0"/>
        <w:jc w:val="center"/>
        <w:rPr>
          <w:rFonts w:ascii="Calibri" w:hAnsi="Calibri"/>
          <w:b w:val="0"/>
          <w:bCs w:val="0"/>
          <w:sz w:val="28"/>
          <w:szCs w:val="28"/>
          <w:lang w:val="fr-CH"/>
        </w:rPr>
      </w:pPr>
      <w:r w:rsidRPr="002D6A51">
        <w:rPr>
          <w:rFonts w:ascii="Calibri" w:hAnsi="Calibri"/>
          <w:b w:val="0"/>
          <w:bCs w:val="0"/>
          <w:sz w:val="28"/>
          <w:szCs w:val="28"/>
        </w:rPr>
        <w:t xml:space="preserve">Jeudi 12 février 2026 – </w:t>
      </w:r>
      <w:r w:rsidR="00557C87">
        <w:rPr>
          <w:rFonts w:ascii="Calibri" w:hAnsi="Calibri"/>
          <w:b w:val="0"/>
          <w:bCs w:val="0"/>
          <w:sz w:val="28"/>
          <w:szCs w:val="28"/>
        </w:rPr>
        <w:t>14</w:t>
      </w:r>
      <w:r w:rsidRPr="002D6A51">
        <w:rPr>
          <w:rFonts w:ascii="Calibri" w:hAnsi="Calibri"/>
          <w:b w:val="0"/>
          <w:bCs w:val="0"/>
          <w:sz w:val="28"/>
          <w:szCs w:val="28"/>
        </w:rPr>
        <w:t>h</w:t>
      </w:r>
      <w:r w:rsidR="00557C87">
        <w:rPr>
          <w:rFonts w:ascii="Calibri" w:hAnsi="Calibri"/>
          <w:b w:val="0"/>
          <w:bCs w:val="0"/>
          <w:sz w:val="28"/>
          <w:szCs w:val="28"/>
        </w:rPr>
        <w:t>30</w:t>
      </w:r>
      <w:r w:rsidRPr="002D6A51">
        <w:rPr>
          <w:rFonts w:ascii="Calibri" w:hAnsi="Calibri"/>
          <w:b w:val="0"/>
          <w:bCs w:val="0"/>
          <w:sz w:val="28"/>
          <w:szCs w:val="28"/>
        </w:rPr>
        <w:t xml:space="preserve"> à </w:t>
      </w:r>
      <w:r w:rsidR="009B3BC9">
        <w:rPr>
          <w:rFonts w:ascii="Calibri" w:hAnsi="Calibri"/>
          <w:b w:val="0"/>
          <w:bCs w:val="0"/>
          <w:sz w:val="28"/>
          <w:szCs w:val="28"/>
        </w:rPr>
        <w:t>1</w:t>
      </w:r>
      <w:r w:rsidR="00557C87">
        <w:rPr>
          <w:rFonts w:ascii="Calibri" w:hAnsi="Calibri"/>
          <w:b w:val="0"/>
          <w:bCs w:val="0"/>
          <w:sz w:val="28"/>
          <w:szCs w:val="28"/>
        </w:rPr>
        <w:t>6</w:t>
      </w:r>
      <w:r w:rsidR="009B3BC9">
        <w:rPr>
          <w:rFonts w:ascii="Calibri" w:hAnsi="Calibri"/>
          <w:b w:val="0"/>
          <w:bCs w:val="0"/>
          <w:sz w:val="28"/>
          <w:szCs w:val="28"/>
        </w:rPr>
        <w:t>h</w:t>
      </w:r>
      <w:r w:rsidR="00557C87">
        <w:rPr>
          <w:rFonts w:ascii="Calibri" w:hAnsi="Calibri"/>
          <w:b w:val="0"/>
          <w:bCs w:val="0"/>
          <w:sz w:val="28"/>
          <w:szCs w:val="28"/>
        </w:rPr>
        <w:t>15</w:t>
      </w:r>
    </w:p>
    <w:p w14:paraId="25EC9584" w14:textId="77777777" w:rsidR="00116AE3" w:rsidRPr="00116AE3" w:rsidRDefault="00116AE3" w:rsidP="00116AE3">
      <w:pPr>
        <w:pStyle w:val="Heading2"/>
        <w:ind w:left="567" w:hanging="425"/>
        <w:rPr>
          <w:color w:val="ED7D31" w:themeColor="accent2"/>
          <w:sz w:val="36"/>
          <w:szCs w:val="32"/>
          <w:lang w:val="en-US"/>
        </w:rPr>
      </w:pPr>
      <w:r w:rsidRPr="00116AE3">
        <w:rPr>
          <w:color w:val="ED7D31" w:themeColor="accent2"/>
          <w:sz w:val="36"/>
          <w:szCs w:val="32"/>
        </w:rPr>
        <w:t xml:space="preserve">Contexte </w:t>
      </w:r>
    </w:p>
    <w:p w14:paraId="615E9123" w14:textId="332E6FC5" w:rsidR="00B544AA" w:rsidRPr="00676E09" w:rsidRDefault="00B544AA" w:rsidP="00B544AA">
      <w:pPr>
        <w:pStyle w:val="NormalWeb"/>
        <w:shd w:val="clear" w:color="auto" w:fill="FFFFFF"/>
        <w:spacing w:before="0" w:beforeAutospacing="0" w:after="0" w:afterAutospacing="0"/>
        <w:jc w:val="both"/>
        <w:rPr>
          <w:rFonts w:asciiTheme="minorHAnsi" w:eastAsiaTheme="minorHAnsi" w:hAnsiTheme="minorHAnsi" w:cstheme="minorBidi"/>
          <w:color w:val="006A66"/>
          <w:sz w:val="28"/>
          <w:lang w:val="fr-FR" w:eastAsia="en-US"/>
        </w:rPr>
      </w:pPr>
      <w:r w:rsidRPr="00B544AA">
        <w:rPr>
          <w:rFonts w:asciiTheme="minorHAnsi" w:eastAsiaTheme="minorHAnsi" w:hAnsiTheme="minorHAnsi" w:cstheme="minorBidi"/>
          <w:color w:val="006A66"/>
          <w:sz w:val="28"/>
          <w:lang w:eastAsia="en-US"/>
        </w:rPr>
        <w:t xml:space="preserve">Les enfants âgés de 14 à 17 ans constituent une cohorte distincte et hautement vulnérable, située à l'intersection des agendas du travail des enfants et de l'emploi des jeunes. Idéalement, ils devraient rester à l'école, mais la réalité est que beaucoup sont déjà engagés dans un travail, souvent dangereux, rendant essentiel de répondre à leurs besoins spécifiques par des réponses ciblées et protectrices. Malgré </w:t>
      </w:r>
      <w:r w:rsidR="0027434C">
        <w:rPr>
          <w:rFonts w:asciiTheme="minorHAnsi" w:eastAsiaTheme="minorHAnsi" w:hAnsiTheme="minorHAnsi" w:cstheme="minorBidi"/>
          <w:color w:val="006A66"/>
          <w:sz w:val="28"/>
          <w:lang w:eastAsia="en-US"/>
        </w:rPr>
        <w:t>son</w:t>
      </w:r>
      <w:r w:rsidR="0027434C" w:rsidRPr="00B544AA">
        <w:rPr>
          <w:rFonts w:asciiTheme="minorHAnsi" w:eastAsiaTheme="minorHAnsi" w:hAnsiTheme="minorHAnsi" w:cstheme="minorBidi"/>
          <w:color w:val="006A66"/>
          <w:sz w:val="28"/>
          <w:lang w:eastAsia="en-US"/>
        </w:rPr>
        <w:t xml:space="preserve"> </w:t>
      </w:r>
      <w:r w:rsidRPr="00B544AA">
        <w:rPr>
          <w:rFonts w:asciiTheme="minorHAnsi" w:eastAsiaTheme="minorHAnsi" w:hAnsiTheme="minorHAnsi" w:cstheme="minorBidi"/>
          <w:color w:val="006A66"/>
          <w:sz w:val="28"/>
          <w:lang w:eastAsia="en-US"/>
        </w:rPr>
        <w:t xml:space="preserve">importance, </w:t>
      </w:r>
      <w:r w:rsidR="0027434C">
        <w:rPr>
          <w:rFonts w:asciiTheme="minorHAnsi" w:eastAsiaTheme="minorHAnsi" w:hAnsiTheme="minorHAnsi" w:cstheme="minorBidi"/>
          <w:color w:val="006A66"/>
          <w:sz w:val="28"/>
          <w:lang w:eastAsia="en-US"/>
        </w:rPr>
        <w:t>ce groupe reste</w:t>
      </w:r>
      <w:r w:rsidRPr="00B544AA">
        <w:rPr>
          <w:rFonts w:asciiTheme="minorHAnsi" w:eastAsiaTheme="minorHAnsi" w:hAnsiTheme="minorHAnsi" w:cstheme="minorBidi"/>
          <w:color w:val="006A66"/>
          <w:sz w:val="28"/>
          <w:lang w:eastAsia="en-US"/>
        </w:rPr>
        <w:t xml:space="preserve"> souvent négligé dans les efforts mondiaux pour éliminer le travail des enfants. Les dernières estimations mondiales de l'OIT–UNICEF indiquent que la tranche des 15 à 17 ans représente la plus grande part des enfants en travail des enfants dans des régions telles que la région Asie-Pacifique, l'Amérique latine et les Caraïbes. </w:t>
      </w:r>
      <w:r w:rsidR="00FE3E1F">
        <w:rPr>
          <w:rFonts w:asciiTheme="minorHAnsi" w:eastAsiaTheme="minorHAnsi" w:hAnsiTheme="minorHAnsi" w:cstheme="minorBidi"/>
          <w:color w:val="006A66"/>
          <w:sz w:val="28"/>
          <w:lang w:eastAsia="en-US"/>
        </w:rPr>
        <w:t xml:space="preserve">Cette situation est inquiétante même si en Afrique </w:t>
      </w:r>
      <w:proofErr w:type="gramStart"/>
      <w:r w:rsidR="00FE3E1F">
        <w:rPr>
          <w:rFonts w:asciiTheme="minorHAnsi" w:eastAsiaTheme="minorHAnsi" w:hAnsiTheme="minorHAnsi" w:cstheme="minorBidi"/>
          <w:color w:val="006A66"/>
          <w:sz w:val="28"/>
          <w:lang w:eastAsia="en-US"/>
        </w:rPr>
        <w:t>Subsaharienne</w:t>
      </w:r>
      <w:proofErr w:type="gramEnd"/>
      <w:r w:rsidR="00FE3E1F">
        <w:rPr>
          <w:rFonts w:asciiTheme="minorHAnsi" w:eastAsiaTheme="minorHAnsi" w:hAnsiTheme="minorHAnsi" w:cstheme="minorBidi"/>
          <w:color w:val="006A66"/>
          <w:sz w:val="28"/>
          <w:lang w:eastAsia="en-US"/>
        </w:rPr>
        <w:t>, l</w:t>
      </w:r>
      <w:r w:rsidR="00307501" w:rsidRPr="005420EF">
        <w:rPr>
          <w:rFonts w:asciiTheme="minorHAnsi" w:eastAsiaTheme="minorHAnsi" w:hAnsiTheme="minorHAnsi" w:cstheme="minorBidi"/>
          <w:color w:val="006A66"/>
          <w:sz w:val="28"/>
          <w:lang w:eastAsia="en-US"/>
        </w:rPr>
        <w:t>a majorité des enfants en situation de travail des enfants se situe en dessous de 15 ans.</w:t>
      </w:r>
      <w:r w:rsidR="00FE3E1F">
        <w:rPr>
          <w:rFonts w:asciiTheme="minorHAnsi" w:eastAsiaTheme="minorHAnsi" w:hAnsiTheme="minorHAnsi" w:cstheme="minorBidi"/>
          <w:color w:val="006A66"/>
          <w:sz w:val="28"/>
          <w:lang w:eastAsia="en-US"/>
        </w:rPr>
        <w:t xml:space="preserve"> </w:t>
      </w:r>
      <w:r w:rsidRPr="00B544AA">
        <w:rPr>
          <w:rFonts w:asciiTheme="minorHAnsi" w:eastAsiaTheme="minorHAnsi" w:hAnsiTheme="minorHAnsi" w:cstheme="minorBidi"/>
          <w:color w:val="006A66"/>
          <w:sz w:val="28"/>
          <w:lang w:eastAsia="en-US"/>
        </w:rPr>
        <w:t>Par définition, tous les enfants en travail d'enfants âgés de 15 à 17 ans sont engagés dans des travaux dangereux, ce qui les expose à des risques accrus pour la sécurité et la santé au travail (</w:t>
      </w:r>
      <w:r w:rsidR="002E354C">
        <w:rPr>
          <w:rFonts w:asciiTheme="minorHAnsi" w:eastAsiaTheme="minorHAnsi" w:hAnsiTheme="minorHAnsi" w:cstheme="minorBidi"/>
          <w:color w:val="006A66"/>
          <w:sz w:val="28"/>
          <w:lang w:eastAsia="en-US"/>
        </w:rPr>
        <w:t>SST</w:t>
      </w:r>
      <w:r w:rsidRPr="00B544AA">
        <w:rPr>
          <w:rFonts w:asciiTheme="minorHAnsi" w:eastAsiaTheme="minorHAnsi" w:hAnsiTheme="minorHAnsi" w:cstheme="minorBidi"/>
          <w:color w:val="006A66"/>
          <w:sz w:val="28"/>
          <w:lang w:eastAsia="en-US"/>
        </w:rPr>
        <w:t>). Leur immaturité physique, cognitive et émotionnelle augmente la susceptibilité aux blessures et à la mauvaise santé, avec des conséquences à la fois immédiates et durables. De plus, l'accès à un soutien personnalisé en santé mentale et psychosociale reste rare.</w:t>
      </w:r>
    </w:p>
    <w:p w14:paraId="03F2D78A" w14:textId="498C7686" w:rsidR="00B544AA" w:rsidRPr="00676E09" w:rsidRDefault="00B544AA" w:rsidP="004B3153">
      <w:pPr>
        <w:pStyle w:val="NormalWeb"/>
        <w:jc w:val="both"/>
        <w:rPr>
          <w:rFonts w:asciiTheme="minorHAnsi" w:eastAsiaTheme="minorHAnsi" w:hAnsiTheme="minorHAnsi" w:cstheme="minorBidi"/>
          <w:color w:val="006A66"/>
          <w:sz w:val="28"/>
          <w:lang w:val="fr-FR" w:eastAsia="en-US"/>
        </w:rPr>
      </w:pPr>
      <w:r w:rsidRPr="00B544AA">
        <w:rPr>
          <w:rFonts w:asciiTheme="minorHAnsi" w:eastAsiaTheme="minorHAnsi" w:hAnsiTheme="minorHAnsi" w:cstheme="minorBidi"/>
          <w:color w:val="006A66"/>
          <w:sz w:val="28"/>
          <w:lang w:eastAsia="en-US"/>
        </w:rPr>
        <w:t xml:space="preserve">Le travail des enfants chez les adolescents entraîne également un coût éducatif important. Les estimations mondiales montrent que 60 % de cette tranche d'âge sont hors de l'école, contre seulement 14 % de leurs pairs non travailleurs, ce qui compromet considérablement leur développement des compétences et leur employabilité future. Lorsque des opportunités d'apprentissage existent, elles sont souvent informelles, faiblement réglementées et de qualité </w:t>
      </w:r>
      <w:r w:rsidR="008D4E89">
        <w:rPr>
          <w:rFonts w:asciiTheme="minorHAnsi" w:eastAsiaTheme="minorHAnsi" w:hAnsiTheme="minorHAnsi" w:cstheme="minorBidi"/>
          <w:color w:val="006A66"/>
          <w:sz w:val="28"/>
          <w:lang w:eastAsia="en-US"/>
        </w:rPr>
        <w:t>médiocre</w:t>
      </w:r>
      <w:r w:rsidRPr="00B544AA">
        <w:rPr>
          <w:rFonts w:asciiTheme="minorHAnsi" w:eastAsiaTheme="minorHAnsi" w:hAnsiTheme="minorHAnsi" w:cstheme="minorBidi"/>
          <w:color w:val="006A66"/>
          <w:sz w:val="28"/>
          <w:lang w:eastAsia="en-US"/>
        </w:rPr>
        <w:t>, offrant une protection limitée et peu de voies crédibles vers un travail décent</w:t>
      </w:r>
      <w:r w:rsidR="006F6BE6">
        <w:rPr>
          <w:rFonts w:asciiTheme="minorHAnsi" w:eastAsiaTheme="minorHAnsi" w:hAnsiTheme="minorHAnsi" w:cstheme="minorBidi"/>
          <w:color w:val="006A66"/>
          <w:sz w:val="28"/>
          <w:lang w:eastAsia="en-US"/>
        </w:rPr>
        <w:t xml:space="preserve"> si on considère </w:t>
      </w:r>
      <w:r w:rsidR="009C6D15">
        <w:rPr>
          <w:rFonts w:asciiTheme="minorHAnsi" w:eastAsiaTheme="minorHAnsi" w:hAnsiTheme="minorHAnsi" w:cstheme="minorBidi"/>
          <w:color w:val="006A66"/>
          <w:sz w:val="28"/>
          <w:lang w:eastAsia="en-US"/>
        </w:rPr>
        <w:t>les aspects relatifs aux</w:t>
      </w:r>
      <w:r w:rsidR="007176A7">
        <w:rPr>
          <w:rFonts w:asciiTheme="minorHAnsi" w:eastAsiaTheme="minorHAnsi" w:hAnsiTheme="minorHAnsi" w:cstheme="minorBidi"/>
          <w:color w:val="006A66"/>
          <w:sz w:val="28"/>
          <w:lang w:eastAsia="en-US"/>
        </w:rPr>
        <w:t xml:space="preserve"> droits, </w:t>
      </w:r>
      <w:r w:rsidR="009C6D15">
        <w:rPr>
          <w:rFonts w:asciiTheme="minorHAnsi" w:eastAsiaTheme="minorHAnsi" w:hAnsiTheme="minorHAnsi" w:cstheme="minorBidi"/>
          <w:color w:val="006A66"/>
          <w:sz w:val="28"/>
          <w:lang w:eastAsia="en-US"/>
        </w:rPr>
        <w:t xml:space="preserve">à </w:t>
      </w:r>
      <w:r w:rsidR="007176A7">
        <w:rPr>
          <w:rFonts w:asciiTheme="minorHAnsi" w:eastAsiaTheme="minorHAnsi" w:hAnsiTheme="minorHAnsi" w:cstheme="minorBidi"/>
          <w:color w:val="006A66"/>
          <w:sz w:val="28"/>
          <w:lang w:eastAsia="en-US"/>
        </w:rPr>
        <w:t>la sécurité et santé au travail</w:t>
      </w:r>
      <w:r w:rsidR="00406271">
        <w:rPr>
          <w:rFonts w:asciiTheme="minorHAnsi" w:eastAsiaTheme="minorHAnsi" w:hAnsiTheme="minorHAnsi" w:cstheme="minorBidi"/>
          <w:color w:val="006A66"/>
          <w:sz w:val="28"/>
          <w:lang w:eastAsia="en-US"/>
        </w:rPr>
        <w:t xml:space="preserve">, </w:t>
      </w:r>
      <w:r w:rsidR="009C6D15">
        <w:rPr>
          <w:rFonts w:asciiTheme="minorHAnsi" w:eastAsiaTheme="minorHAnsi" w:hAnsiTheme="minorHAnsi" w:cstheme="minorBidi"/>
          <w:color w:val="006A66"/>
          <w:sz w:val="28"/>
          <w:lang w:eastAsia="en-US"/>
        </w:rPr>
        <w:t xml:space="preserve">au </w:t>
      </w:r>
      <w:r w:rsidR="00406271">
        <w:rPr>
          <w:rFonts w:asciiTheme="minorHAnsi" w:eastAsiaTheme="minorHAnsi" w:hAnsiTheme="minorHAnsi" w:cstheme="minorBidi"/>
          <w:color w:val="006A66"/>
          <w:sz w:val="28"/>
          <w:lang w:eastAsia="en-US"/>
        </w:rPr>
        <w:t>dialogue social</w:t>
      </w:r>
      <w:r w:rsidR="009C1769">
        <w:rPr>
          <w:rFonts w:asciiTheme="minorHAnsi" w:eastAsiaTheme="minorHAnsi" w:hAnsiTheme="minorHAnsi" w:cstheme="minorBidi"/>
          <w:color w:val="006A66"/>
          <w:sz w:val="28"/>
          <w:lang w:eastAsia="en-US"/>
        </w:rPr>
        <w:t xml:space="preserve"> qui ne favorisent pas l</w:t>
      </w:r>
      <w:r w:rsidR="002C2A37">
        <w:rPr>
          <w:rFonts w:asciiTheme="minorHAnsi" w:eastAsiaTheme="minorHAnsi" w:hAnsiTheme="minorHAnsi" w:cstheme="minorBidi"/>
          <w:color w:val="006A66"/>
          <w:sz w:val="28"/>
          <w:lang w:eastAsia="en-US"/>
        </w:rPr>
        <w:t xml:space="preserve">eur </w:t>
      </w:r>
      <w:r w:rsidR="009C1769">
        <w:rPr>
          <w:rFonts w:asciiTheme="minorHAnsi" w:eastAsiaTheme="minorHAnsi" w:hAnsiTheme="minorHAnsi" w:cstheme="minorBidi"/>
          <w:color w:val="006A66"/>
          <w:sz w:val="28"/>
          <w:lang w:eastAsia="en-US"/>
        </w:rPr>
        <w:t>épanouissement</w:t>
      </w:r>
      <w:r w:rsidRPr="00B544AA">
        <w:rPr>
          <w:rFonts w:asciiTheme="minorHAnsi" w:eastAsiaTheme="minorHAnsi" w:hAnsiTheme="minorHAnsi" w:cstheme="minorBidi"/>
          <w:color w:val="006A66"/>
          <w:sz w:val="28"/>
          <w:lang w:eastAsia="en-US"/>
        </w:rPr>
        <w:t>.</w:t>
      </w:r>
    </w:p>
    <w:p w14:paraId="16438B39" w14:textId="77777777" w:rsidR="00B544AA" w:rsidRPr="00676E09" w:rsidRDefault="00B544AA" w:rsidP="00B544AA">
      <w:pPr>
        <w:pStyle w:val="NormalWeb"/>
        <w:jc w:val="both"/>
        <w:rPr>
          <w:rFonts w:asciiTheme="minorHAnsi" w:eastAsiaTheme="minorHAnsi" w:hAnsiTheme="minorHAnsi" w:cstheme="minorBidi"/>
          <w:color w:val="006A66"/>
          <w:sz w:val="28"/>
          <w:lang w:val="fr-FR" w:eastAsia="en-US"/>
        </w:rPr>
      </w:pPr>
      <w:r w:rsidRPr="00B544AA">
        <w:rPr>
          <w:rFonts w:asciiTheme="minorHAnsi" w:eastAsiaTheme="minorHAnsi" w:hAnsiTheme="minorHAnsi" w:cstheme="minorBidi"/>
          <w:color w:val="006A66"/>
          <w:sz w:val="28"/>
          <w:lang w:eastAsia="en-US"/>
        </w:rPr>
        <w:lastRenderedPageBreak/>
        <w:t>Les adolescents en âge légal de travailler font également face à un accès restreint à la protection sociale, aux organisations de travailleurs et aux mécanismes de dialogue social, ce qui entraîne une représentation limitée et une voix collective faible. Ces défis sont aggravés par l'absence ou l'incomplète mise en œuvre des listes nationales de travaux dangereux, ce qui sape la prévention et l'application en laissant les tâches dangereuses insuffisamment identifiées et réglementées.</w:t>
      </w:r>
    </w:p>
    <w:p w14:paraId="3840C520" w14:textId="5749A604" w:rsidR="00B544AA" w:rsidRPr="00676E09" w:rsidRDefault="00B544AA" w:rsidP="00B544AA">
      <w:pPr>
        <w:spacing w:before="100" w:beforeAutospacing="1" w:after="100" w:afterAutospacing="1"/>
        <w:jc w:val="both"/>
        <w:rPr>
          <w:color w:val="006A66"/>
          <w:sz w:val="28"/>
          <w:lang w:val="fr-FR"/>
        </w:rPr>
      </w:pPr>
      <w:r w:rsidRPr="00B544AA">
        <w:rPr>
          <w:color w:val="006A66"/>
          <w:sz w:val="28"/>
        </w:rPr>
        <w:t xml:space="preserve">L'accès aux parcours d'emploi structurés est limité et les écarts systémiques affaiblissent les voies de transition sûres pour ce groupe d'âge. Les politiques et programmes ne parviennent souvent pas à accorder une attention suffisante et ciblée aux adolescents de ce groupe, laissant leurs besoins spécifiques et leurs risques insuffisamment pris en compte. Les évaluations des opportunités d'emploi des jeunes tendent également à négliger les réalités de cette cohorte, ce qui limite l'identification d'alternatives viables aux travaux dangereux. De plus, la coordination entre les parties prenantes clés, y compris les autorités (travail et emploi, jeunesse, </w:t>
      </w:r>
      <w:r w:rsidR="002A7639">
        <w:rPr>
          <w:color w:val="006A66"/>
          <w:sz w:val="28"/>
        </w:rPr>
        <w:t>formations professionnelles</w:t>
      </w:r>
      <w:r w:rsidRPr="00B544AA">
        <w:rPr>
          <w:color w:val="006A66"/>
          <w:sz w:val="28"/>
        </w:rPr>
        <w:t xml:space="preserve"> et compétences, développement de la jeunesse et autres institutions sectorielles), les organisations d'employeurs et de travailleurs, les associations de jeunes et les partenaires de développement, reste insuffisante et réduit la portée et l'impact des mesures de soutien. Par conséquent, il existe un décalage persistant entre les compétences fournies et les besoins évolutifs du marché du travail, laissant de nombreux jeunes mal préparés aux opportunités d'emploi disponibles et émergentes.</w:t>
      </w:r>
    </w:p>
    <w:p w14:paraId="7D45D82E" w14:textId="77777777" w:rsidR="00B544AA" w:rsidRPr="00676E09" w:rsidRDefault="00B544AA" w:rsidP="00B544AA">
      <w:pPr>
        <w:pStyle w:val="NormalWeb"/>
        <w:jc w:val="both"/>
        <w:rPr>
          <w:rFonts w:asciiTheme="minorHAnsi" w:eastAsiaTheme="minorHAnsi" w:hAnsiTheme="minorHAnsi" w:cstheme="minorBidi"/>
          <w:color w:val="006A66"/>
          <w:sz w:val="28"/>
          <w:lang w:val="fr-FR" w:eastAsia="en-US"/>
        </w:rPr>
      </w:pPr>
      <w:r w:rsidRPr="00B544AA">
        <w:rPr>
          <w:rFonts w:asciiTheme="minorHAnsi" w:eastAsiaTheme="minorHAnsi" w:hAnsiTheme="minorHAnsi" w:cstheme="minorBidi"/>
          <w:color w:val="006A66"/>
          <w:sz w:val="28"/>
          <w:lang w:eastAsia="en-US"/>
        </w:rPr>
        <w:t>Dans ce contexte, la session du panel répond à la nécessité d'un dialogue mondial ciblé sur la manière de faire sortir efficacement les enfants en âge de travailler légalement des travaux dangereux vers des voies sûres, inclusives et productives vers un travail décent.</w:t>
      </w:r>
    </w:p>
    <w:p w14:paraId="2E2C52D7" w14:textId="77777777" w:rsidR="00116AE3" w:rsidRDefault="00116AE3" w:rsidP="00116AE3">
      <w:pPr>
        <w:pStyle w:val="Heading2"/>
        <w:ind w:left="567" w:hanging="283"/>
        <w:rPr>
          <w:color w:val="ED7D31" w:themeColor="accent2"/>
          <w:sz w:val="36"/>
          <w:szCs w:val="32"/>
        </w:rPr>
      </w:pPr>
      <w:r w:rsidRPr="00116AE3">
        <w:rPr>
          <w:color w:val="ED7D31" w:themeColor="accent2"/>
          <w:sz w:val="36"/>
          <w:szCs w:val="32"/>
        </w:rPr>
        <w:t xml:space="preserve">Questions abordées </w:t>
      </w:r>
    </w:p>
    <w:p w14:paraId="18F6CB4B" w14:textId="77777777" w:rsidR="00433816" w:rsidRDefault="00E87BEC" w:rsidP="00E87BEC">
      <w:pPr>
        <w:spacing w:before="100" w:beforeAutospacing="1" w:after="100" w:afterAutospacing="1"/>
        <w:jc w:val="both"/>
        <w:rPr>
          <w:color w:val="006A66"/>
          <w:sz w:val="28"/>
        </w:rPr>
      </w:pPr>
      <w:r w:rsidRPr="00E87BEC">
        <w:rPr>
          <w:color w:val="006A66"/>
          <w:sz w:val="28"/>
        </w:rPr>
        <w:t xml:space="preserve">La session examinera les défis interconnectés auxquels sont confrontés les adolescents en âge légal de travailler, y compris ceux exposés aux travaux dangereux dans le cadre de </w:t>
      </w:r>
      <w:r w:rsidR="001A6214">
        <w:rPr>
          <w:color w:val="006A66"/>
          <w:sz w:val="28"/>
        </w:rPr>
        <w:t xml:space="preserve">la </w:t>
      </w:r>
      <w:r w:rsidRPr="00E87BEC">
        <w:rPr>
          <w:color w:val="006A66"/>
          <w:sz w:val="28"/>
        </w:rPr>
        <w:t xml:space="preserve">transition fragile </w:t>
      </w:r>
      <w:r w:rsidR="001A6214">
        <w:rPr>
          <w:color w:val="006A66"/>
          <w:sz w:val="28"/>
        </w:rPr>
        <w:t>vers</w:t>
      </w:r>
      <w:r w:rsidRPr="00E87BEC">
        <w:rPr>
          <w:color w:val="006A66"/>
          <w:sz w:val="28"/>
        </w:rPr>
        <w:t xml:space="preserve"> l’emploi. </w:t>
      </w:r>
      <w:r w:rsidR="003F36CC" w:rsidRPr="003F36CC">
        <w:rPr>
          <w:color w:val="006A66"/>
          <w:sz w:val="28"/>
        </w:rPr>
        <w:t xml:space="preserve">Elle analysera les lacunes en matière de protection, de réglementation et d’application des normes, notamment concernant les listes de travaux dangereux et les systèmes de sécurité et santé au travail (SST). </w:t>
      </w:r>
    </w:p>
    <w:p w14:paraId="47972A68" w14:textId="77777777" w:rsidR="00433816" w:rsidRDefault="00433816" w:rsidP="00E87BEC">
      <w:pPr>
        <w:spacing w:before="100" w:beforeAutospacing="1" w:after="100" w:afterAutospacing="1"/>
        <w:jc w:val="both"/>
        <w:rPr>
          <w:color w:val="006A66"/>
          <w:sz w:val="28"/>
        </w:rPr>
      </w:pPr>
    </w:p>
    <w:p w14:paraId="53FDE2EA" w14:textId="77777777" w:rsidR="00433816" w:rsidRDefault="00433816" w:rsidP="00E87BEC">
      <w:pPr>
        <w:spacing w:before="100" w:beforeAutospacing="1" w:after="100" w:afterAutospacing="1"/>
        <w:jc w:val="both"/>
        <w:rPr>
          <w:color w:val="006A66"/>
          <w:sz w:val="28"/>
        </w:rPr>
      </w:pPr>
    </w:p>
    <w:p w14:paraId="13EE5868" w14:textId="0D42BA9D" w:rsidR="00EC3250" w:rsidRDefault="003F36CC" w:rsidP="00E87BEC">
      <w:pPr>
        <w:spacing w:before="100" w:beforeAutospacing="1" w:after="100" w:afterAutospacing="1"/>
        <w:jc w:val="both"/>
        <w:rPr>
          <w:color w:val="006A66"/>
          <w:sz w:val="28"/>
        </w:rPr>
      </w:pPr>
      <w:r w:rsidRPr="003F36CC">
        <w:rPr>
          <w:color w:val="006A66"/>
          <w:sz w:val="28"/>
        </w:rPr>
        <w:t>Elle examinera également les faiblesses de la cohérence des politiques entre la lutte contre le travail des enfants et l’emploi des jeunes, qui conduisent à des apprentissages dangereux et de faible qualité ainsi qu’à des parcours d’auto-emploi et de création d’entreprise insuffisamment encadrés</w:t>
      </w:r>
      <w:r w:rsidR="00EC3250">
        <w:rPr>
          <w:color w:val="006A66"/>
          <w:sz w:val="28"/>
        </w:rPr>
        <w:t>.</w:t>
      </w:r>
    </w:p>
    <w:p w14:paraId="41624CE8" w14:textId="545EF208" w:rsidR="00E87BEC" w:rsidRPr="00E87BEC" w:rsidRDefault="00E87BEC" w:rsidP="00E87BEC">
      <w:pPr>
        <w:spacing w:before="100" w:beforeAutospacing="1" w:after="100" w:afterAutospacing="1"/>
        <w:jc w:val="both"/>
        <w:rPr>
          <w:color w:val="006A66"/>
          <w:sz w:val="28"/>
        </w:rPr>
      </w:pPr>
      <w:r w:rsidRPr="00E87BEC">
        <w:rPr>
          <w:color w:val="006A66"/>
          <w:sz w:val="28"/>
        </w:rPr>
        <w:t>La discussion mettra également en évidence les bonnes pratiques, les enseignements tirés et les recommandations issus des politiques et mécanismes intégrés existants d’appui aux jeunes, combinant la réinsertion sociale, la protection des droits, l’appui à l’entrepreneuriat et un accompagnement continu depuis l’identification et la formation jusqu’à l’</w:t>
      </w:r>
      <w:r w:rsidR="009108F4">
        <w:rPr>
          <w:color w:val="006A66"/>
          <w:sz w:val="28"/>
        </w:rPr>
        <w:t xml:space="preserve">insertion </w:t>
      </w:r>
      <w:r w:rsidR="00BE77DC">
        <w:rPr>
          <w:color w:val="006A66"/>
          <w:sz w:val="28"/>
        </w:rPr>
        <w:t>à l’</w:t>
      </w:r>
      <w:r w:rsidRPr="00E87BEC">
        <w:rPr>
          <w:color w:val="006A66"/>
          <w:sz w:val="28"/>
        </w:rPr>
        <w:t xml:space="preserve">emploi </w:t>
      </w:r>
      <w:r w:rsidR="00BE77DC">
        <w:rPr>
          <w:color w:val="006A66"/>
          <w:sz w:val="28"/>
        </w:rPr>
        <w:t>(</w:t>
      </w:r>
      <w:r w:rsidRPr="00E87BEC">
        <w:rPr>
          <w:color w:val="006A66"/>
          <w:sz w:val="28"/>
        </w:rPr>
        <w:t>salarié ou auto-emploi</w:t>
      </w:r>
      <w:r w:rsidR="00BE77DC">
        <w:rPr>
          <w:color w:val="006A66"/>
          <w:sz w:val="28"/>
        </w:rPr>
        <w:t>)</w:t>
      </w:r>
      <w:r w:rsidRPr="00E87BEC">
        <w:rPr>
          <w:color w:val="006A66"/>
          <w:sz w:val="28"/>
        </w:rPr>
        <w:t xml:space="preserve"> et </w:t>
      </w:r>
      <w:r w:rsidR="006F0795">
        <w:rPr>
          <w:color w:val="006A66"/>
          <w:sz w:val="28"/>
        </w:rPr>
        <w:t>le</w:t>
      </w:r>
      <w:r w:rsidRPr="00E87BEC">
        <w:rPr>
          <w:color w:val="006A66"/>
          <w:sz w:val="28"/>
        </w:rPr>
        <w:t xml:space="preserve"> </w:t>
      </w:r>
      <w:r w:rsidR="00B17777">
        <w:rPr>
          <w:color w:val="006A66"/>
          <w:sz w:val="28"/>
        </w:rPr>
        <w:t>suivi</w:t>
      </w:r>
      <w:r w:rsidRPr="00E87BEC">
        <w:rPr>
          <w:color w:val="006A66"/>
          <w:sz w:val="28"/>
        </w:rPr>
        <w:t>. Elle abordera aussi la faible voix des adolescents, leur connaissance limitée de leurs droits et leur accès restreint aux mécanismes d’orientation et de protection, en particulier pour les filles, ainsi que le rôle de la pauvreté des ménages, des normes communautaires et de la vulnérabilité des moyens de subsistance dans l’orientation des jeunes vers des travaux dangereux ou un auto-emploi de survie.</w:t>
      </w:r>
    </w:p>
    <w:p w14:paraId="732D3EC3" w14:textId="2F6B0ED3" w:rsidR="00E87BEC" w:rsidRPr="00E87BEC" w:rsidRDefault="00E87BEC" w:rsidP="00E87BEC">
      <w:pPr>
        <w:spacing w:before="100" w:beforeAutospacing="1" w:after="100" w:afterAutospacing="1"/>
        <w:jc w:val="both"/>
        <w:rPr>
          <w:color w:val="006A66"/>
          <w:sz w:val="28"/>
        </w:rPr>
      </w:pPr>
      <w:r w:rsidRPr="00E87BEC">
        <w:rPr>
          <w:color w:val="006A66"/>
          <w:sz w:val="28"/>
        </w:rPr>
        <w:t xml:space="preserve">Ensemble, ces enjeux structurent la réflexion sur la manière de construire des parcours de transition sûrs, cohérents, inclusifs et protecteurs </w:t>
      </w:r>
      <w:r w:rsidR="002E762B">
        <w:rPr>
          <w:color w:val="006A66"/>
          <w:sz w:val="28"/>
        </w:rPr>
        <w:t xml:space="preserve">vers un emploi décent </w:t>
      </w:r>
      <w:r w:rsidR="001B7F59">
        <w:rPr>
          <w:color w:val="006A66"/>
          <w:sz w:val="28"/>
        </w:rPr>
        <w:t xml:space="preserve">et un entrepreneuriat durable </w:t>
      </w:r>
      <w:r w:rsidRPr="00E87BEC">
        <w:rPr>
          <w:color w:val="006A66"/>
          <w:sz w:val="28"/>
        </w:rPr>
        <w:t>pour les adolescents en âge légal de travailler</w:t>
      </w:r>
    </w:p>
    <w:p w14:paraId="0093F56A" w14:textId="77777777" w:rsidR="00E87BEC" w:rsidRPr="00E87BEC" w:rsidRDefault="00E87BEC" w:rsidP="00E87BEC">
      <w:pPr>
        <w:spacing w:before="100" w:beforeAutospacing="1" w:after="100" w:afterAutospacing="1"/>
        <w:jc w:val="both"/>
        <w:rPr>
          <w:color w:val="006A66"/>
          <w:sz w:val="28"/>
        </w:rPr>
      </w:pPr>
    </w:p>
    <w:sectPr w:rsidR="00E87BEC" w:rsidRPr="00E87BEC"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1DDE" w14:textId="77777777" w:rsidR="008D3067" w:rsidRDefault="008D3067" w:rsidP="003F14C5">
      <w:r>
        <w:separator/>
      </w:r>
    </w:p>
  </w:endnote>
  <w:endnote w:type="continuationSeparator" w:id="0">
    <w:p w14:paraId="279C64AF" w14:textId="77777777" w:rsidR="008D3067" w:rsidRDefault="008D3067"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lang w:val="fr-FR" w:eastAsia="fr-FR"/>
      </w:rPr>
      <mc:AlternateContent>
        <mc:Choice Requires="wps">
          <w:drawing>
            <wp:anchor distT="0" distB="0" distL="114300" distR="114300" simplePos="0" relativeHeight="251660288"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DDBDD"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4B3153">
      <w:rPr>
        <w:caps/>
        <w:noProof/>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EDDB" w14:textId="77777777" w:rsidR="008D3067" w:rsidRDefault="008D3067" w:rsidP="003F14C5">
      <w:r>
        <w:separator/>
      </w:r>
    </w:p>
  </w:footnote>
  <w:footnote w:type="continuationSeparator" w:id="0">
    <w:p w14:paraId="3A7239EC" w14:textId="77777777" w:rsidR="008D3067" w:rsidRDefault="008D3067"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lang w:val="fr-FR" w:eastAsia="fr-FR"/>
      </w:rPr>
      <w:drawing>
        <wp:anchor distT="0" distB="0" distL="114300" distR="114300" simplePos="0" relativeHeight="251661312"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7086543">
    <w:abstractNumId w:val="2"/>
  </w:num>
  <w:num w:numId="2" w16cid:durableId="876897078">
    <w:abstractNumId w:val="1"/>
  </w:num>
  <w:num w:numId="3" w16cid:durableId="1951619892">
    <w:abstractNumId w:val="0"/>
  </w:num>
  <w:num w:numId="4" w16cid:durableId="535192335">
    <w:abstractNumId w:val="5"/>
  </w:num>
  <w:num w:numId="5" w16cid:durableId="2086802887">
    <w:abstractNumId w:val="3"/>
  </w:num>
  <w:num w:numId="6" w16cid:durableId="554858217">
    <w:abstractNumId w:val="4"/>
  </w:num>
  <w:num w:numId="7" w16cid:durableId="326443382">
    <w:abstractNumId w:val="0"/>
  </w:num>
  <w:num w:numId="8" w16cid:durableId="130581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068FC"/>
    <w:rsid w:val="00031D75"/>
    <w:rsid w:val="000469B8"/>
    <w:rsid w:val="000D1978"/>
    <w:rsid w:val="000D4FD8"/>
    <w:rsid w:val="00106E49"/>
    <w:rsid w:val="00112680"/>
    <w:rsid w:val="00116AE3"/>
    <w:rsid w:val="001453A8"/>
    <w:rsid w:val="001504D3"/>
    <w:rsid w:val="00172DB3"/>
    <w:rsid w:val="001911C1"/>
    <w:rsid w:val="00191DB6"/>
    <w:rsid w:val="00193155"/>
    <w:rsid w:val="001A0BCF"/>
    <w:rsid w:val="001A6214"/>
    <w:rsid w:val="001B08F6"/>
    <w:rsid w:val="001B7F59"/>
    <w:rsid w:val="001C299A"/>
    <w:rsid w:val="001C6E16"/>
    <w:rsid w:val="001F2F48"/>
    <w:rsid w:val="00226FBC"/>
    <w:rsid w:val="002511FC"/>
    <w:rsid w:val="0027434C"/>
    <w:rsid w:val="00292D94"/>
    <w:rsid w:val="002A04EF"/>
    <w:rsid w:val="002A7639"/>
    <w:rsid w:val="002C2A37"/>
    <w:rsid w:val="002D3C87"/>
    <w:rsid w:val="002E036B"/>
    <w:rsid w:val="002E354C"/>
    <w:rsid w:val="002E762B"/>
    <w:rsid w:val="00307501"/>
    <w:rsid w:val="00320E73"/>
    <w:rsid w:val="00322A3C"/>
    <w:rsid w:val="00322A69"/>
    <w:rsid w:val="00361FC7"/>
    <w:rsid w:val="003735C1"/>
    <w:rsid w:val="003A21AB"/>
    <w:rsid w:val="003B7005"/>
    <w:rsid w:val="003C1A89"/>
    <w:rsid w:val="003C2175"/>
    <w:rsid w:val="003E0F9D"/>
    <w:rsid w:val="003F14C5"/>
    <w:rsid w:val="003F36CC"/>
    <w:rsid w:val="00400DED"/>
    <w:rsid w:val="00406271"/>
    <w:rsid w:val="0042535A"/>
    <w:rsid w:val="00433816"/>
    <w:rsid w:val="00451E32"/>
    <w:rsid w:val="00460530"/>
    <w:rsid w:val="004615B4"/>
    <w:rsid w:val="004A5150"/>
    <w:rsid w:val="004B3153"/>
    <w:rsid w:val="004D4D19"/>
    <w:rsid w:val="004F5E6E"/>
    <w:rsid w:val="004F6398"/>
    <w:rsid w:val="004F6974"/>
    <w:rsid w:val="00511C71"/>
    <w:rsid w:val="00517C95"/>
    <w:rsid w:val="00540DAD"/>
    <w:rsid w:val="005420EF"/>
    <w:rsid w:val="00546D16"/>
    <w:rsid w:val="00557C87"/>
    <w:rsid w:val="005632B7"/>
    <w:rsid w:val="0056509C"/>
    <w:rsid w:val="00570EE4"/>
    <w:rsid w:val="005D1B95"/>
    <w:rsid w:val="005E54AF"/>
    <w:rsid w:val="00611390"/>
    <w:rsid w:val="00632B80"/>
    <w:rsid w:val="00633860"/>
    <w:rsid w:val="0063633D"/>
    <w:rsid w:val="00655DC9"/>
    <w:rsid w:val="00662820"/>
    <w:rsid w:val="00676E09"/>
    <w:rsid w:val="00681D2A"/>
    <w:rsid w:val="00685DC4"/>
    <w:rsid w:val="006D2439"/>
    <w:rsid w:val="006F0795"/>
    <w:rsid w:val="006F6BE6"/>
    <w:rsid w:val="00711690"/>
    <w:rsid w:val="00715E49"/>
    <w:rsid w:val="007176A7"/>
    <w:rsid w:val="007177AB"/>
    <w:rsid w:val="00731442"/>
    <w:rsid w:val="00785C4D"/>
    <w:rsid w:val="007904BA"/>
    <w:rsid w:val="007B2EC3"/>
    <w:rsid w:val="007E0A57"/>
    <w:rsid w:val="008448E4"/>
    <w:rsid w:val="00866A5D"/>
    <w:rsid w:val="008769C3"/>
    <w:rsid w:val="008D3067"/>
    <w:rsid w:val="008D4E89"/>
    <w:rsid w:val="009062AA"/>
    <w:rsid w:val="00906B14"/>
    <w:rsid w:val="009108F4"/>
    <w:rsid w:val="00962978"/>
    <w:rsid w:val="00965D50"/>
    <w:rsid w:val="0097645E"/>
    <w:rsid w:val="00985DA4"/>
    <w:rsid w:val="009A57C5"/>
    <w:rsid w:val="009B3BC9"/>
    <w:rsid w:val="009B4785"/>
    <w:rsid w:val="009C1769"/>
    <w:rsid w:val="009C6D15"/>
    <w:rsid w:val="00A122DD"/>
    <w:rsid w:val="00A24A74"/>
    <w:rsid w:val="00A26C5D"/>
    <w:rsid w:val="00A36C83"/>
    <w:rsid w:val="00A4134F"/>
    <w:rsid w:val="00AA0AF8"/>
    <w:rsid w:val="00AE0240"/>
    <w:rsid w:val="00AF293E"/>
    <w:rsid w:val="00B126DD"/>
    <w:rsid w:val="00B13886"/>
    <w:rsid w:val="00B17777"/>
    <w:rsid w:val="00B32985"/>
    <w:rsid w:val="00B544AA"/>
    <w:rsid w:val="00B63C5F"/>
    <w:rsid w:val="00B94175"/>
    <w:rsid w:val="00B970A2"/>
    <w:rsid w:val="00B97F2A"/>
    <w:rsid w:val="00BA1338"/>
    <w:rsid w:val="00BA7FF6"/>
    <w:rsid w:val="00BE0293"/>
    <w:rsid w:val="00BE77DC"/>
    <w:rsid w:val="00C05043"/>
    <w:rsid w:val="00C22BCD"/>
    <w:rsid w:val="00C324FF"/>
    <w:rsid w:val="00C453EE"/>
    <w:rsid w:val="00C6552E"/>
    <w:rsid w:val="00C733E3"/>
    <w:rsid w:val="00C8273C"/>
    <w:rsid w:val="00C8429E"/>
    <w:rsid w:val="00CB6031"/>
    <w:rsid w:val="00CD7B33"/>
    <w:rsid w:val="00CE3322"/>
    <w:rsid w:val="00CF4E85"/>
    <w:rsid w:val="00D356BF"/>
    <w:rsid w:val="00D53BBE"/>
    <w:rsid w:val="00D61274"/>
    <w:rsid w:val="00D73B22"/>
    <w:rsid w:val="00D910C4"/>
    <w:rsid w:val="00DB013D"/>
    <w:rsid w:val="00DE1434"/>
    <w:rsid w:val="00DE1BAF"/>
    <w:rsid w:val="00DF4D69"/>
    <w:rsid w:val="00DF5B33"/>
    <w:rsid w:val="00E16D2A"/>
    <w:rsid w:val="00E204BF"/>
    <w:rsid w:val="00E52DB6"/>
    <w:rsid w:val="00E87BEC"/>
    <w:rsid w:val="00E91D5C"/>
    <w:rsid w:val="00EC3250"/>
    <w:rsid w:val="00EC6AF9"/>
    <w:rsid w:val="00EE0A0E"/>
    <w:rsid w:val="00EF504D"/>
    <w:rsid w:val="00EF6747"/>
    <w:rsid w:val="00F024CD"/>
    <w:rsid w:val="00F02DFA"/>
    <w:rsid w:val="00F436D2"/>
    <w:rsid w:val="00FE3E1F"/>
    <w:rsid w:val="00FE6B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docId w15:val="{A048FF2D-7019-4256-B977-A08D8D9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 w:type="character" w:styleId="PlaceholderText">
    <w:name w:val="Placeholder Text"/>
    <w:basedOn w:val="DefaultParagraphFont"/>
    <w:uiPriority w:val="99"/>
    <w:semiHidden/>
    <w:rsid w:val="009B4785"/>
    <w:rPr>
      <w:color w:val="666666"/>
    </w:rPr>
  </w:style>
  <w:style w:type="character" w:styleId="CommentReference">
    <w:name w:val="annotation reference"/>
    <w:basedOn w:val="DefaultParagraphFont"/>
    <w:uiPriority w:val="99"/>
    <w:semiHidden/>
    <w:unhideWhenUsed/>
    <w:rsid w:val="004B3153"/>
    <w:rPr>
      <w:sz w:val="16"/>
      <w:szCs w:val="16"/>
    </w:rPr>
  </w:style>
  <w:style w:type="paragraph" w:styleId="CommentText">
    <w:name w:val="annotation text"/>
    <w:basedOn w:val="Normal"/>
    <w:link w:val="CommentTextChar"/>
    <w:uiPriority w:val="99"/>
    <w:unhideWhenUsed/>
    <w:rsid w:val="004B3153"/>
    <w:rPr>
      <w:sz w:val="20"/>
      <w:szCs w:val="20"/>
    </w:rPr>
  </w:style>
  <w:style w:type="character" w:customStyle="1" w:styleId="CommentTextChar">
    <w:name w:val="Comment Text Char"/>
    <w:basedOn w:val="DefaultParagraphFont"/>
    <w:link w:val="CommentText"/>
    <w:uiPriority w:val="99"/>
    <w:rsid w:val="004B3153"/>
    <w:rPr>
      <w:sz w:val="20"/>
      <w:szCs w:val="20"/>
    </w:rPr>
  </w:style>
  <w:style w:type="paragraph" w:styleId="CommentSubject">
    <w:name w:val="annotation subject"/>
    <w:basedOn w:val="CommentText"/>
    <w:next w:val="CommentText"/>
    <w:link w:val="CommentSubjectChar"/>
    <w:uiPriority w:val="99"/>
    <w:semiHidden/>
    <w:unhideWhenUsed/>
    <w:rsid w:val="004B3153"/>
    <w:rPr>
      <w:b/>
      <w:bCs/>
    </w:rPr>
  </w:style>
  <w:style w:type="character" w:customStyle="1" w:styleId="CommentSubjectChar">
    <w:name w:val="Comment Subject Char"/>
    <w:basedOn w:val="CommentTextChar"/>
    <w:link w:val="CommentSubject"/>
    <w:uiPriority w:val="99"/>
    <w:semiHidden/>
    <w:rsid w:val="004B3153"/>
    <w:rPr>
      <w:b/>
      <w:bCs/>
      <w:sz w:val="20"/>
      <w:szCs w:val="20"/>
    </w:rPr>
  </w:style>
  <w:style w:type="paragraph" w:styleId="BalloonText">
    <w:name w:val="Balloon Text"/>
    <w:basedOn w:val="Normal"/>
    <w:link w:val="BalloonTextChar"/>
    <w:uiPriority w:val="99"/>
    <w:semiHidden/>
    <w:unhideWhenUsed/>
    <w:rsid w:val="004B315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53"/>
    <w:rPr>
      <w:rFonts w:ascii="Tahoma" w:hAnsi="Tahoma" w:cs="Tahoma"/>
      <w:sz w:val="16"/>
      <w:szCs w:val="16"/>
    </w:rPr>
  </w:style>
  <w:style w:type="paragraph" w:styleId="Revision">
    <w:name w:val="Revision"/>
    <w:hidden/>
    <w:uiPriority w:val="99"/>
    <w:semiHidden/>
    <w:rsid w:val="0056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3C18-F6EA-438F-B97E-4BD89DAD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5223</Characters>
  <Application>Microsoft Office Word</Application>
  <DocSecurity>0</DocSecurity>
  <Lines>88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Ramaromanana, Clara</cp:lastModifiedBy>
  <cp:revision>3</cp:revision>
  <cp:lastPrinted>2026-01-12T22:51:00Z</cp:lastPrinted>
  <dcterms:created xsi:type="dcterms:W3CDTF">2026-02-02T12:09:00Z</dcterms:created>
  <dcterms:modified xsi:type="dcterms:W3CDTF">2026-02-06T08:59:00Z</dcterms:modified>
</cp:coreProperties>
</file>