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6BBD" w14:textId="78E0C598" w:rsidR="00116AE3" w:rsidRPr="006B2D1D" w:rsidRDefault="00116AE3" w:rsidP="00116AE3">
      <w:pPr>
        <w:pStyle w:val="Heading1"/>
        <w:spacing w:before="0" w:after="0"/>
        <w:jc w:val="center"/>
        <w:rPr>
          <w:rFonts w:ascii="Calibri" w:hAnsi="Calibri"/>
          <w:b w:val="0"/>
          <w:bCs w:val="0"/>
          <w:sz w:val="28"/>
          <w:szCs w:val="28"/>
          <w:lang w:val="pt-PT"/>
        </w:rPr>
      </w:pP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>Nota conceptual para una sesión temática sobre</w:t>
      </w:r>
    </w:p>
    <w:p w14:paraId="182FE00B" w14:textId="77777777" w:rsidR="00116AE3" w:rsidRPr="006B2D1D" w:rsidRDefault="00116AE3" w:rsidP="00116AE3">
      <w:pPr>
        <w:pStyle w:val="Heading1"/>
        <w:spacing w:before="0" w:after="0"/>
        <w:jc w:val="center"/>
        <w:rPr>
          <w:sz w:val="36"/>
          <w:szCs w:val="36"/>
          <w:lang w:val="pt-PT"/>
        </w:rPr>
      </w:pPr>
    </w:p>
    <w:p w14:paraId="432472B4" w14:textId="575752EC" w:rsidR="00EE0A0E" w:rsidRPr="006B2D1D" w:rsidRDefault="00EE0A0E" w:rsidP="00EE0A0E">
      <w:pPr>
        <w:spacing w:before="200"/>
        <w:jc w:val="center"/>
        <w:rPr>
          <w:rFonts w:ascii="Cera Pro" w:eastAsia="Times New Roman" w:hAnsi="Cera Pro" w:cs="Times New Roman"/>
          <w:b/>
          <w:bCs/>
          <w:color w:val="ED7D31" w:themeColor="accent2"/>
          <w:kern w:val="36"/>
          <w:sz w:val="40"/>
          <w:szCs w:val="40"/>
          <w:lang w:val="pt-PT" w:eastAsia="fr-FR"/>
        </w:rPr>
      </w:pPr>
      <w:r w:rsidRPr="006B2D1D">
        <w:rPr>
          <w:rFonts w:ascii="Cera Pro" w:eastAsia="Times New Roman" w:hAnsi="Cera Pro" w:cs="Times New Roman"/>
          <w:b/>
          <w:bCs/>
          <w:color w:val="ED7D31" w:themeColor="accent2"/>
          <w:kern w:val="36"/>
          <w:sz w:val="40"/>
          <w:szCs w:val="40"/>
          <w:lang w:val="pt-PT" w:eastAsia="fr-FR"/>
        </w:rPr>
        <w:t>Trabajo decente para jóvenes</w:t>
      </w:r>
    </w:p>
    <w:p w14:paraId="09032BCB" w14:textId="77777777" w:rsidR="00116AE3" w:rsidRPr="006B2D1D" w:rsidRDefault="00116AE3" w:rsidP="00116AE3">
      <w:pPr>
        <w:pStyle w:val="Heading1"/>
        <w:spacing w:after="0"/>
        <w:jc w:val="center"/>
        <w:rPr>
          <w:rFonts w:ascii="Calibri" w:hAnsi="Calibri"/>
          <w:b w:val="0"/>
          <w:bCs w:val="0"/>
          <w:sz w:val="28"/>
          <w:szCs w:val="28"/>
          <w:lang w:val="pt-PT"/>
        </w:rPr>
      </w:pP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>en la 6ª Conferencia Global sobre la Eliminación del Trabajo Infantil, Marrakech, Marruecos</w:t>
      </w:r>
    </w:p>
    <w:p w14:paraId="59B3BF92" w14:textId="71978703" w:rsidR="00116AE3" w:rsidRPr="006B2D1D" w:rsidRDefault="00116AE3" w:rsidP="00116AE3">
      <w:pPr>
        <w:pStyle w:val="Heading1"/>
        <w:spacing w:after="0"/>
        <w:jc w:val="center"/>
        <w:rPr>
          <w:rFonts w:ascii="Calibri" w:hAnsi="Calibri"/>
          <w:b w:val="0"/>
          <w:bCs w:val="0"/>
          <w:sz w:val="28"/>
          <w:szCs w:val="28"/>
          <w:lang w:val="pt-PT"/>
        </w:rPr>
      </w:pP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 xml:space="preserve">Jueves, 12 de febrero de 2026 – </w:t>
      </w:r>
      <w:r w:rsidR="005501D2">
        <w:rPr>
          <w:rFonts w:ascii="Calibri" w:hAnsi="Calibri"/>
          <w:b w:val="0"/>
          <w:bCs w:val="0"/>
          <w:sz w:val="28"/>
          <w:szCs w:val="28"/>
          <w:lang w:val="pt-PT"/>
        </w:rPr>
        <w:t>14</w:t>
      </w: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>:</w:t>
      </w:r>
      <w:r w:rsidR="005501D2">
        <w:rPr>
          <w:rFonts w:ascii="Calibri" w:hAnsi="Calibri"/>
          <w:b w:val="0"/>
          <w:bCs w:val="0"/>
          <w:sz w:val="28"/>
          <w:szCs w:val="28"/>
          <w:lang w:val="pt-PT"/>
        </w:rPr>
        <w:t>30</w:t>
      </w: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 xml:space="preserve"> a </w:t>
      </w:r>
      <w:r w:rsidR="005501D2">
        <w:rPr>
          <w:rFonts w:ascii="Calibri" w:hAnsi="Calibri"/>
          <w:b w:val="0"/>
          <w:bCs w:val="0"/>
          <w:sz w:val="28"/>
          <w:szCs w:val="28"/>
          <w:lang w:val="pt-PT"/>
        </w:rPr>
        <w:t>16</w:t>
      </w: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>:</w:t>
      </w:r>
      <w:r w:rsidR="00CB3220">
        <w:rPr>
          <w:rFonts w:ascii="Calibri" w:hAnsi="Calibri"/>
          <w:b w:val="0"/>
          <w:bCs w:val="0"/>
          <w:sz w:val="28"/>
          <w:szCs w:val="28"/>
          <w:lang w:val="pt-PT"/>
        </w:rPr>
        <w:t>15</w:t>
      </w:r>
      <w:r w:rsidRPr="006B2D1D">
        <w:rPr>
          <w:rFonts w:ascii="Calibri" w:hAnsi="Calibri"/>
          <w:b w:val="0"/>
          <w:bCs w:val="0"/>
          <w:sz w:val="28"/>
          <w:szCs w:val="28"/>
          <w:lang w:val="pt-PT"/>
        </w:rPr>
        <w:t xml:space="preserve"> </w:t>
      </w:r>
    </w:p>
    <w:p w14:paraId="25EC9584" w14:textId="77777777" w:rsidR="00116AE3" w:rsidRPr="00116AE3" w:rsidRDefault="00116AE3" w:rsidP="00116AE3">
      <w:pPr>
        <w:pStyle w:val="Heading2"/>
        <w:ind w:left="567" w:hanging="425"/>
        <w:rPr>
          <w:color w:val="ED7D31" w:themeColor="accent2"/>
          <w:sz w:val="36"/>
          <w:szCs w:val="32"/>
          <w:lang w:val="en-US"/>
        </w:rPr>
      </w:pPr>
      <w:r w:rsidRPr="00116AE3">
        <w:rPr>
          <w:color w:val="ED7D31" w:themeColor="accent2"/>
          <w:sz w:val="36"/>
          <w:szCs w:val="32"/>
        </w:rPr>
        <w:t xml:space="preserve">Antecedentes </w:t>
      </w:r>
    </w:p>
    <w:p w14:paraId="615E9123" w14:textId="332E6FC5" w:rsidR="00B544AA" w:rsidRPr="006B2D1D" w:rsidRDefault="00B544AA" w:rsidP="00B544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</w:pPr>
      <w:r w:rsidRPr="006B2D1D"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  <w:t>Los niños de 14 a 17 años forman un grupo distinto y altamente vulnerable, situado en la intersección de las agendas de trabajo infantil y empleo juvenil. Idealmente, deberían seguir estudiando, pero la realidad es que muchos ya están trabajando en el trabajo, a menudo peligroso, por lo que es esencial satisfacer sus necesidades específicas con respuestas específicas y protectoras. A pesar de su importancia, este grupo a menudo sigue siendo ignorado en los esfuerzos globales para eliminar el trabajo infantil. Las últimas estimaciones globales de la OIT-UNICEF indican que el grupo de edad de 15 a 17 años representa la mayor proporción de niños en trabajo infantil en regiones como la región Asia-Pacífico, América Latina y el Caribe. Esta situación es preocupante a pesar de que en el África subsahariana, la mayoría de los niños en trabajo infantil tienen menos de 15 años. Por definición, todos los niños trabajadores entre 15 y 17 años están implicados en trabajos peligrosos, lo que les expone a mayores riesgos de seguridad y salud laboral (SSO). Su inmadurez física, cognitiva y emocional aumenta la susceptibilidad a lesiones y problemas de salud, con consecuencias tanto inmediatas como duraderas. Además, el acceso a apoyo personalizado en salud mental y psicosocial sigue siendo poco común.</w:t>
      </w:r>
    </w:p>
    <w:p w14:paraId="03F2D78A" w14:textId="498C7686" w:rsidR="00B544AA" w:rsidRPr="006B2D1D" w:rsidRDefault="00B544AA" w:rsidP="004B3153">
      <w:pPr>
        <w:pStyle w:val="NormalWeb"/>
        <w:jc w:val="both"/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</w:pPr>
      <w:r w:rsidRPr="006B2D1D"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  <w:t>El trabajo infantil entre los adolescentes también conlleva un coste educativo significativo. Las estimaciones globales muestran que el 60% de este grupo de edad ha terminado la escuela, frente a solo el 14% de sus compañeros no trabajadores, lo que compromete significativamente su desarrollo de habilidades y su empleabilidad futura. Cuando existen oportunidades de aprendizaje, suelen ser informales, poco reguladas y de baja calidad, ofreciendo una protección limitada y pocas vías creíbles hacia un trabajo digno si consideramos los aspectos de derechos, seguridad y salud en el trabajo, y el diálogo social que no promueven su desarrollo.</w:t>
      </w:r>
    </w:p>
    <w:p w14:paraId="16438B39" w14:textId="77777777" w:rsidR="00B544AA" w:rsidRPr="006B2D1D" w:rsidRDefault="00B544AA" w:rsidP="00B544AA">
      <w:pPr>
        <w:pStyle w:val="NormalWeb"/>
        <w:jc w:val="both"/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</w:pPr>
      <w:r w:rsidRPr="006B2D1D"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  <w:lastRenderedPageBreak/>
        <w:t>Los adolescentes en edad de trabajar también enfrentan un acceso limitado a la protección social, las organizaciones de trabajadores y los mecanismos de diálogo social, lo que resulta en una representación limitada y una voz colectiva débil. Estos desafíos se ven agravados por la ausencia o implementación incompleta de listas nacionales de trabajos peligrosos, lo que socava la prevención y la aplicación al dejar las tareas peligrosas insuficientemente identificadas y reguladas.</w:t>
      </w:r>
    </w:p>
    <w:p w14:paraId="3840C520" w14:textId="5749A604" w:rsidR="00B544AA" w:rsidRPr="006B2D1D" w:rsidRDefault="00B544AA" w:rsidP="00B544AA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  <w:r w:rsidRPr="006B2D1D">
        <w:rPr>
          <w:color w:val="006A66"/>
          <w:sz w:val="28"/>
          <w:lang w:val="pt-PT"/>
        </w:rPr>
        <w:t>El acceso a vías laborales estructuradas es limitado y las brechas sistémicas debilitan las vías de transición seguras para este grupo de edad. Las políticas y programas a menudo no prestan suficiente atención y dirigida a los adolescentes de este grupo, dejando sus necesidades y riesgos específicos insuficientemente atendidos. Las evaluaciones de las oportunidades de empleo juvenil también tienden a pasar por alto las realidades de esta cohorte, limitando la identificación de alternativas viables a trabajos peligrosos. Además, la coordinación entre los principales actores, incluidas las autoridades (trabajo y empleo, juventud, formación profesional y competencias, desarrollo juvenil y otras instituciones sectoriales), organizaciones de empleadores y trabajadores, asociaciones juveniles y socios para el desarrollo, sigue siendo insuficiente y reduce el alcance y el impacto de las medidas de apoyo. Como resultado, existe una desconexión persistente entre las habilidades proporcionadas y las necesidades cambiantes del mercado laboral, dejando a muchos jóvenes poco preparados para las oportunidades laborales disponibles y emergentes.</w:t>
      </w:r>
    </w:p>
    <w:p w14:paraId="7D45D82E" w14:textId="77777777" w:rsidR="00B544AA" w:rsidRPr="006B2D1D" w:rsidRDefault="00B544AA" w:rsidP="00B544AA">
      <w:pPr>
        <w:pStyle w:val="NormalWeb"/>
        <w:jc w:val="both"/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</w:pPr>
      <w:r w:rsidRPr="006B2D1D">
        <w:rPr>
          <w:rFonts w:asciiTheme="minorHAnsi" w:eastAsiaTheme="minorHAnsi" w:hAnsiTheme="minorHAnsi" w:cstheme="minorBidi"/>
          <w:color w:val="006A66"/>
          <w:sz w:val="28"/>
          <w:lang w:val="pt-PT" w:eastAsia="en-US"/>
        </w:rPr>
        <w:t>En este contexto, la sesión del panel responde a la necesidad de un diálogo global enfocado sobre cómo sacar eficazmente a los niños en edad laboral de trabajos peligrosos hacia caminos seguros, inclusivos y productivos hacia un trabajo digno.</w:t>
      </w:r>
    </w:p>
    <w:p w14:paraId="2E2C52D7" w14:textId="77777777" w:rsidR="00116AE3" w:rsidRDefault="00116AE3" w:rsidP="00116AE3">
      <w:pPr>
        <w:pStyle w:val="Heading2"/>
        <w:ind w:left="567" w:hanging="283"/>
        <w:rPr>
          <w:color w:val="ED7D31" w:themeColor="accent2"/>
          <w:sz w:val="36"/>
          <w:szCs w:val="32"/>
        </w:rPr>
      </w:pPr>
      <w:r w:rsidRPr="00116AE3">
        <w:rPr>
          <w:color w:val="ED7D31" w:themeColor="accent2"/>
          <w:sz w:val="36"/>
          <w:szCs w:val="32"/>
        </w:rPr>
        <w:t xml:space="preserve">Cuestiones abordadas </w:t>
      </w:r>
    </w:p>
    <w:p w14:paraId="18F6CB4B" w14:textId="77777777" w:rsidR="00433816" w:rsidRPr="006B2D1D" w:rsidRDefault="00E87BEC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  <w:r w:rsidRPr="006B2D1D">
        <w:rPr>
          <w:color w:val="006A66"/>
          <w:sz w:val="28"/>
          <w:lang w:val="pt-PT"/>
        </w:rPr>
        <w:t xml:space="preserve">La sesión examinará los desafíos interconectados que enfrentan los adolescentes en edad legal de trabajar, incluidos aquellos expuestos a trabajos peligrosos como parte de la frágil transición al empleo. Analizará las lagunas en la protección, regulación y aplicación de las normas, incluidas las listas de trabajos peligrosos y los sistemas de seguridad y salud ocupacional (OSH). </w:t>
      </w:r>
    </w:p>
    <w:p w14:paraId="47972A68" w14:textId="77777777" w:rsidR="00433816" w:rsidRPr="006B2D1D" w:rsidRDefault="00433816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</w:p>
    <w:p w14:paraId="53FDE2EA" w14:textId="77777777" w:rsidR="00433816" w:rsidRPr="006B2D1D" w:rsidRDefault="00433816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</w:p>
    <w:p w14:paraId="13EE5868" w14:textId="0D42BA9D" w:rsidR="00EC3250" w:rsidRPr="006B2D1D" w:rsidRDefault="003F36CC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  <w:r w:rsidRPr="006B2D1D">
        <w:rPr>
          <w:color w:val="006A66"/>
          <w:sz w:val="28"/>
          <w:lang w:val="pt-PT"/>
        </w:rPr>
        <w:lastRenderedPageBreak/>
        <w:t>También examinará las debilidades en la coherencia política entre la lucha contra el trabajo infantil y el empleo juvenil, que conducen a aprendizajes peligrosos y de baja calidad, así como a vías de autoempleo y emprendimiento insuficientemente supervisadas.</w:t>
      </w:r>
    </w:p>
    <w:p w14:paraId="41624CE8" w14:textId="545EF208" w:rsidR="00E87BEC" w:rsidRPr="006B2D1D" w:rsidRDefault="00E87BEC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  <w:r w:rsidRPr="006B2D1D">
        <w:rPr>
          <w:color w:val="006A66"/>
          <w:sz w:val="28"/>
          <w:lang w:val="pt-PT"/>
        </w:rPr>
        <w:t>La discusión también destacará buenas prácticas, lecciones aprendidas y recomendaciones de políticas y mecanismos integrados existentes para apoyar a los jóvenes, combinando la reintegración social, la protección de los derechos, el apoyo al emprendimiento y el apoyo continuo desde la identificación y formación hasta la integración en el empleo (asalariado o autónomo) y el seguimiento. También abordará las voces débiles de los adolescentes, el conocimiento limitado de sus derechos y el acceso limitado a mecanismos de derivación y protección, especialmente para las niñas, así como el papel de la pobreza en el hogar, las normas comunitarias y la vulnerabilidad en los medios de vida para dirigir a los jóvenes hacia trabajos peligrosos o autoempleos de supervivencia.</w:t>
      </w:r>
    </w:p>
    <w:p w14:paraId="732D3EC3" w14:textId="2F6B0ED3" w:rsidR="00E87BEC" w:rsidRPr="006B2D1D" w:rsidRDefault="00E87BEC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  <w:r w:rsidRPr="006B2D1D">
        <w:rPr>
          <w:color w:val="006A66"/>
          <w:sz w:val="28"/>
          <w:lang w:val="pt-PT"/>
        </w:rPr>
        <w:t>En conjunto, estos temas estructuran la reflexión sobre cómo construir vías de transición seguras, coherentes, inclusivas y protectoras hacia un trabajo digno y un emprendimiento sostenible para los adolescentes en edad laboral</w:t>
      </w:r>
    </w:p>
    <w:p w14:paraId="0093F56A" w14:textId="44E0A32D" w:rsidR="00E87BEC" w:rsidRPr="006B2D1D" w:rsidRDefault="00E87BEC" w:rsidP="00E87BEC">
      <w:pPr>
        <w:spacing w:before="100" w:beforeAutospacing="1" w:after="100" w:afterAutospacing="1"/>
        <w:jc w:val="both"/>
        <w:rPr>
          <w:color w:val="006A66"/>
          <w:sz w:val="28"/>
          <w:lang w:val="pt-PT"/>
        </w:rPr>
      </w:pPr>
    </w:p>
    <w:sectPr w:rsidR="00E87BEC" w:rsidRPr="006B2D1D" w:rsidSect="00116A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74FB" w14:textId="77777777" w:rsidR="00792FE4" w:rsidRDefault="00792FE4" w:rsidP="003F14C5">
      <w:r>
        <w:separator/>
      </w:r>
    </w:p>
  </w:endnote>
  <w:endnote w:type="continuationSeparator" w:id="0">
    <w:p w14:paraId="37C3F99C" w14:textId="77777777" w:rsidR="00792FE4" w:rsidRDefault="00792FE4" w:rsidP="003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28DC" w14:textId="77777777" w:rsidR="003F14C5" w:rsidRPr="00320E73" w:rsidRDefault="00320E73" w:rsidP="00320E73">
    <w:pPr>
      <w:pStyle w:val="Footer"/>
      <w:jc w:val="right"/>
      <w:rPr>
        <w:caps/>
        <w:color w:val="006A66"/>
      </w:rPr>
    </w:pPr>
    <w:r w:rsidRPr="00320E73">
      <w:rPr>
        <w:noProof/>
        <w:color w:val="006A6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EB848" wp14:editId="22107F85">
              <wp:simplePos x="0" y="0"/>
              <wp:positionH relativeFrom="column">
                <wp:posOffset>3397822</wp:posOffset>
              </wp:positionH>
              <wp:positionV relativeFrom="paragraph">
                <wp:posOffset>171450</wp:posOffset>
              </wp:positionV>
              <wp:extent cx="2196000" cy="0"/>
              <wp:effectExtent l="0" t="0" r="13970" b="127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96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6A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necteur droit 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6a66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" from="267.55pt,13.5pt" to="440.45pt,13.5pt" w14:anchorId="39745AA9">
              <v:stroke joinstyle="miter"/>
            </v:line>
          </w:pict>
        </mc:Fallback>
      </mc:AlternateContent>
    </w:r>
    <w:r w:rsidR="003F14C5" w:rsidRPr="00320E73">
      <w:rPr>
        <w:caps/>
        <w:color w:val="006A66"/>
      </w:rPr>
      <w:fldChar w:fldCharType="begin"/>
    </w:r>
    <w:r w:rsidR="003F14C5" w:rsidRPr="00320E73">
      <w:rPr>
        <w:caps/>
        <w:color w:val="006A66"/>
      </w:rPr>
      <w:instrText>PAGE   \* MERGEFORMAT</w:instrText>
    </w:r>
    <w:r w:rsidR="003F14C5" w:rsidRPr="00320E73">
      <w:rPr>
        <w:caps/>
        <w:color w:val="006A66"/>
      </w:rPr>
      <w:fldChar w:fldCharType="separate"/>
    </w:r>
    <w:r w:rsidR="004B3153">
      <w:rPr>
        <w:caps/>
        <w:noProof/>
        <w:color w:val="006A66"/>
      </w:rPr>
      <w:t>2</w:t>
    </w:r>
    <w:r w:rsidR="003F14C5" w:rsidRPr="00320E73">
      <w:rPr>
        <w:caps/>
        <w:color w:val="006A66"/>
      </w:rPr>
      <w:fldChar w:fldCharType="end"/>
    </w:r>
  </w:p>
  <w:p w14:paraId="418A5378" w14:textId="77777777" w:rsidR="003F14C5" w:rsidRDefault="003F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A3D7" w14:textId="77777777" w:rsidR="00792FE4" w:rsidRDefault="00792FE4" w:rsidP="003F14C5">
      <w:r>
        <w:separator/>
      </w:r>
    </w:p>
  </w:footnote>
  <w:footnote w:type="continuationSeparator" w:id="0">
    <w:p w14:paraId="71543476" w14:textId="77777777" w:rsidR="00792FE4" w:rsidRDefault="00792FE4" w:rsidP="003F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B870" w14:textId="77777777" w:rsidR="003F14C5" w:rsidRPr="003B7005" w:rsidRDefault="001C299A" w:rsidP="003B7005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3EB00374" wp14:editId="018140C7">
          <wp:simplePos x="0" y="0"/>
          <wp:positionH relativeFrom="column">
            <wp:posOffset>-892239</wp:posOffset>
          </wp:positionH>
          <wp:positionV relativeFrom="paragraph">
            <wp:posOffset>-442024</wp:posOffset>
          </wp:positionV>
          <wp:extent cx="7541911" cy="10667747"/>
          <wp:effectExtent l="0" t="0" r="190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73" cy="10673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CEE"/>
    <w:multiLevelType w:val="hybridMultilevel"/>
    <w:tmpl w:val="BDA029AC"/>
    <w:lvl w:ilvl="0" w:tplc="5880B324">
      <w:start w:val="1"/>
      <w:numFmt w:val="upperRoman"/>
      <w:pStyle w:val="Heading2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2890"/>
    <w:multiLevelType w:val="hybridMultilevel"/>
    <w:tmpl w:val="F15E4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21B"/>
    <w:multiLevelType w:val="hybridMultilevel"/>
    <w:tmpl w:val="B33816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328"/>
    <w:multiLevelType w:val="multilevel"/>
    <w:tmpl w:val="F2E87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022F"/>
    <w:multiLevelType w:val="hybridMultilevel"/>
    <w:tmpl w:val="D8D2909E"/>
    <w:lvl w:ilvl="0" w:tplc="2FFC56E8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307F9"/>
    <w:multiLevelType w:val="hybridMultilevel"/>
    <w:tmpl w:val="E0B4F1FA"/>
    <w:lvl w:ilvl="0" w:tplc="87AEB636">
      <w:start w:val="1"/>
      <w:numFmt w:val="decimal"/>
      <w:pStyle w:val="Heading3"/>
      <w:lvlText w:val="%1."/>
      <w:lvlJc w:val="left"/>
      <w:pPr>
        <w:ind w:left="71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86543">
    <w:abstractNumId w:val="2"/>
  </w:num>
  <w:num w:numId="2" w16cid:durableId="876897078">
    <w:abstractNumId w:val="1"/>
  </w:num>
  <w:num w:numId="3" w16cid:durableId="1951619892">
    <w:abstractNumId w:val="0"/>
  </w:num>
  <w:num w:numId="4" w16cid:durableId="535192335">
    <w:abstractNumId w:val="5"/>
  </w:num>
  <w:num w:numId="5" w16cid:durableId="2086802887">
    <w:abstractNumId w:val="3"/>
  </w:num>
  <w:num w:numId="6" w16cid:durableId="554858217">
    <w:abstractNumId w:val="4"/>
  </w:num>
  <w:num w:numId="7" w16cid:durableId="326443382">
    <w:abstractNumId w:val="0"/>
  </w:num>
  <w:num w:numId="8" w16cid:durableId="130581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D2"/>
    <w:rsid w:val="00031D75"/>
    <w:rsid w:val="000469B8"/>
    <w:rsid w:val="000D1978"/>
    <w:rsid w:val="000D4FD8"/>
    <w:rsid w:val="00106E49"/>
    <w:rsid w:val="00112680"/>
    <w:rsid w:val="00116AE3"/>
    <w:rsid w:val="001453A8"/>
    <w:rsid w:val="001504D3"/>
    <w:rsid w:val="00172DB3"/>
    <w:rsid w:val="001911C1"/>
    <w:rsid w:val="00191DB6"/>
    <w:rsid w:val="00193155"/>
    <w:rsid w:val="001A0BCF"/>
    <w:rsid w:val="001A6214"/>
    <w:rsid w:val="001B08F6"/>
    <w:rsid w:val="001B7F59"/>
    <w:rsid w:val="001C299A"/>
    <w:rsid w:val="001C6E16"/>
    <w:rsid w:val="001F2F48"/>
    <w:rsid w:val="00226FBC"/>
    <w:rsid w:val="002511FC"/>
    <w:rsid w:val="0027434C"/>
    <w:rsid w:val="00292D94"/>
    <w:rsid w:val="002A04EF"/>
    <w:rsid w:val="002A7639"/>
    <w:rsid w:val="002C2A37"/>
    <w:rsid w:val="002D3C87"/>
    <w:rsid w:val="002E036B"/>
    <w:rsid w:val="002E354C"/>
    <w:rsid w:val="002E762B"/>
    <w:rsid w:val="00307501"/>
    <w:rsid w:val="00320E73"/>
    <w:rsid w:val="00322A3C"/>
    <w:rsid w:val="00322A69"/>
    <w:rsid w:val="00361FC7"/>
    <w:rsid w:val="003735C1"/>
    <w:rsid w:val="003A21AB"/>
    <w:rsid w:val="003B7005"/>
    <w:rsid w:val="003C1A89"/>
    <w:rsid w:val="003C2175"/>
    <w:rsid w:val="003E0F9D"/>
    <w:rsid w:val="003F14C5"/>
    <w:rsid w:val="003F36CC"/>
    <w:rsid w:val="00400DED"/>
    <w:rsid w:val="00406271"/>
    <w:rsid w:val="0042535A"/>
    <w:rsid w:val="00433816"/>
    <w:rsid w:val="00451E32"/>
    <w:rsid w:val="00460530"/>
    <w:rsid w:val="004615B4"/>
    <w:rsid w:val="004A5150"/>
    <w:rsid w:val="004B3153"/>
    <w:rsid w:val="004D4D19"/>
    <w:rsid w:val="004F5E6E"/>
    <w:rsid w:val="004F6398"/>
    <w:rsid w:val="004F6974"/>
    <w:rsid w:val="00511C71"/>
    <w:rsid w:val="00517C95"/>
    <w:rsid w:val="00540DAD"/>
    <w:rsid w:val="005420EF"/>
    <w:rsid w:val="00546D16"/>
    <w:rsid w:val="005501D2"/>
    <w:rsid w:val="005632B7"/>
    <w:rsid w:val="0056509C"/>
    <w:rsid w:val="00570EE4"/>
    <w:rsid w:val="005D1B95"/>
    <w:rsid w:val="005E54AF"/>
    <w:rsid w:val="00611390"/>
    <w:rsid w:val="00632B80"/>
    <w:rsid w:val="00633860"/>
    <w:rsid w:val="0063633D"/>
    <w:rsid w:val="00655DC9"/>
    <w:rsid w:val="00662820"/>
    <w:rsid w:val="00676E09"/>
    <w:rsid w:val="00681D2A"/>
    <w:rsid w:val="00685DC4"/>
    <w:rsid w:val="006B2D1D"/>
    <w:rsid w:val="006D2439"/>
    <w:rsid w:val="006F0795"/>
    <w:rsid w:val="006F6BE6"/>
    <w:rsid w:val="00711690"/>
    <w:rsid w:val="00715E49"/>
    <w:rsid w:val="007176A7"/>
    <w:rsid w:val="007177AB"/>
    <w:rsid w:val="00731442"/>
    <w:rsid w:val="00785C4D"/>
    <w:rsid w:val="007904BA"/>
    <w:rsid w:val="00792FE4"/>
    <w:rsid w:val="007B2EC3"/>
    <w:rsid w:val="007E0A57"/>
    <w:rsid w:val="008448E4"/>
    <w:rsid w:val="00866A5D"/>
    <w:rsid w:val="008769C3"/>
    <w:rsid w:val="008D4E89"/>
    <w:rsid w:val="009062AA"/>
    <w:rsid w:val="00906B14"/>
    <w:rsid w:val="009108F4"/>
    <w:rsid w:val="00962978"/>
    <w:rsid w:val="00965D50"/>
    <w:rsid w:val="0097645E"/>
    <w:rsid w:val="00985DA4"/>
    <w:rsid w:val="009A57C5"/>
    <w:rsid w:val="009B3BC9"/>
    <w:rsid w:val="009B4785"/>
    <w:rsid w:val="009C1769"/>
    <w:rsid w:val="009C6D15"/>
    <w:rsid w:val="00A122DD"/>
    <w:rsid w:val="00A24A74"/>
    <w:rsid w:val="00A26C5D"/>
    <w:rsid w:val="00A36C83"/>
    <w:rsid w:val="00A4134F"/>
    <w:rsid w:val="00AA0AF8"/>
    <w:rsid w:val="00AE0240"/>
    <w:rsid w:val="00AF293E"/>
    <w:rsid w:val="00B126DD"/>
    <w:rsid w:val="00B13886"/>
    <w:rsid w:val="00B17777"/>
    <w:rsid w:val="00B32360"/>
    <w:rsid w:val="00B32985"/>
    <w:rsid w:val="00B544AA"/>
    <w:rsid w:val="00B63C5F"/>
    <w:rsid w:val="00B94175"/>
    <w:rsid w:val="00B970A2"/>
    <w:rsid w:val="00B97F2A"/>
    <w:rsid w:val="00BA1338"/>
    <w:rsid w:val="00BA7FF6"/>
    <w:rsid w:val="00BE0293"/>
    <w:rsid w:val="00BE77DC"/>
    <w:rsid w:val="00C05043"/>
    <w:rsid w:val="00C22BCD"/>
    <w:rsid w:val="00C324FF"/>
    <w:rsid w:val="00C453EE"/>
    <w:rsid w:val="00C6552E"/>
    <w:rsid w:val="00C733E3"/>
    <w:rsid w:val="00C8273C"/>
    <w:rsid w:val="00C8429E"/>
    <w:rsid w:val="00CB3220"/>
    <w:rsid w:val="00CB6031"/>
    <w:rsid w:val="00CD7B33"/>
    <w:rsid w:val="00CE3322"/>
    <w:rsid w:val="00CF4E85"/>
    <w:rsid w:val="00D356BF"/>
    <w:rsid w:val="00D53BBE"/>
    <w:rsid w:val="00D61274"/>
    <w:rsid w:val="00D910C4"/>
    <w:rsid w:val="00DB013D"/>
    <w:rsid w:val="00DE1434"/>
    <w:rsid w:val="00DE1BAF"/>
    <w:rsid w:val="00DF4D69"/>
    <w:rsid w:val="00DF5B33"/>
    <w:rsid w:val="00E16D2A"/>
    <w:rsid w:val="00E204BF"/>
    <w:rsid w:val="00E52DB6"/>
    <w:rsid w:val="00E87BEC"/>
    <w:rsid w:val="00E91D5C"/>
    <w:rsid w:val="00EC3250"/>
    <w:rsid w:val="00EC6AF9"/>
    <w:rsid w:val="00EE0A0E"/>
    <w:rsid w:val="00EF504D"/>
    <w:rsid w:val="00EF6747"/>
    <w:rsid w:val="00F024CD"/>
    <w:rsid w:val="00F02DFA"/>
    <w:rsid w:val="00F436D2"/>
    <w:rsid w:val="00FE3E1F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37C32"/>
  <w15:docId w15:val="{A048FF2D-7019-4256-B977-A08D8D9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E49"/>
    <w:pPr>
      <w:spacing w:before="120" w:after="120"/>
      <w:jc w:val="lowKashida"/>
    </w:pPr>
  </w:style>
  <w:style w:type="paragraph" w:styleId="Heading1">
    <w:name w:val="heading 1"/>
    <w:basedOn w:val="Normal"/>
    <w:link w:val="Heading1Char"/>
    <w:uiPriority w:val="9"/>
    <w:qFormat/>
    <w:rsid w:val="00715E49"/>
    <w:pPr>
      <w:spacing w:before="240" w:after="240"/>
      <w:jc w:val="left"/>
      <w:outlineLvl w:val="0"/>
    </w:pPr>
    <w:rPr>
      <w:rFonts w:ascii="Cera Pro" w:eastAsia="Times New Roman" w:hAnsi="Cera Pro" w:cs="Times New Roman"/>
      <w:b/>
      <w:bCs/>
      <w:color w:val="006A66"/>
      <w:kern w:val="36"/>
      <w:sz w:val="50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E49"/>
    <w:pPr>
      <w:keepNext/>
      <w:keepLines/>
      <w:numPr>
        <w:numId w:val="3"/>
      </w:numPr>
      <w:spacing w:before="360"/>
      <w:jc w:val="left"/>
      <w:outlineLvl w:val="1"/>
    </w:pPr>
    <w:rPr>
      <w:rFonts w:eastAsiaTheme="majorEastAsia" w:cstheme="majorBidi"/>
      <w:b/>
      <w:color w:val="006A6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5E49"/>
    <w:pPr>
      <w:keepNext/>
      <w:keepLines/>
      <w:numPr>
        <w:numId w:val="4"/>
      </w:numPr>
      <w:spacing w:before="360"/>
      <w:ind w:left="714" w:hanging="357"/>
      <w:jc w:val="left"/>
      <w:outlineLvl w:val="2"/>
    </w:pPr>
    <w:rPr>
      <w:rFonts w:ascii="Calibri" w:eastAsiaTheme="majorEastAsia" w:hAnsi="Calibri" w:cstheme="majorBidi"/>
      <w:b/>
      <w:color w:val="E5702A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D2A"/>
    <w:pPr>
      <w:keepNext/>
      <w:keepLines/>
      <w:numPr>
        <w:numId w:val="6"/>
      </w:numPr>
      <w:spacing w:before="240"/>
      <w:ind w:left="641" w:hanging="357"/>
      <w:outlineLvl w:val="3"/>
    </w:pPr>
    <w:rPr>
      <w:rFonts w:eastAsiaTheme="majorEastAsia" w:cstheme="majorBidi"/>
      <w:i/>
      <w:iCs/>
      <w:color w:val="E5702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E49"/>
    <w:rPr>
      <w:rFonts w:ascii="Cera Pro" w:eastAsia="Times New Roman" w:hAnsi="Cera Pro" w:cs="Times New Roman"/>
      <w:b/>
      <w:bCs/>
      <w:color w:val="006A66"/>
      <w:kern w:val="36"/>
      <w:sz w:val="50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15E49"/>
    <w:rPr>
      <w:rFonts w:ascii="Calibri" w:eastAsiaTheme="majorEastAsia" w:hAnsi="Calibri" w:cstheme="majorBidi"/>
      <w:b/>
      <w:color w:val="E5702A"/>
      <w:sz w:val="26"/>
    </w:rPr>
  </w:style>
  <w:style w:type="paragraph" w:styleId="NormalWeb">
    <w:name w:val="Normal (Web)"/>
    <w:basedOn w:val="Normal"/>
    <w:uiPriority w:val="99"/>
    <w:unhideWhenUsed/>
    <w:rsid w:val="00F436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436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436D2"/>
    <w:rPr>
      <w:i/>
      <w:iCs/>
    </w:rPr>
  </w:style>
  <w:style w:type="character" w:styleId="Strong">
    <w:name w:val="Strong"/>
    <w:basedOn w:val="DefaultParagraphFont"/>
    <w:uiPriority w:val="22"/>
    <w:qFormat/>
    <w:rsid w:val="00DF4D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4D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4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C5"/>
  </w:style>
  <w:style w:type="paragraph" w:styleId="Footer">
    <w:name w:val="footer"/>
    <w:basedOn w:val="Normal"/>
    <w:link w:val="FooterChar"/>
    <w:uiPriority w:val="99"/>
    <w:unhideWhenUsed/>
    <w:rsid w:val="003F14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C5"/>
  </w:style>
  <w:style w:type="character" w:customStyle="1" w:styleId="Heading2Char">
    <w:name w:val="Heading 2 Char"/>
    <w:basedOn w:val="DefaultParagraphFont"/>
    <w:link w:val="Heading2"/>
    <w:uiPriority w:val="9"/>
    <w:rsid w:val="00715E49"/>
    <w:rPr>
      <w:rFonts w:eastAsiaTheme="majorEastAsia" w:cstheme="majorBidi"/>
      <w:b/>
      <w:color w:val="006A66"/>
      <w:sz w:val="3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6D2A"/>
    <w:rPr>
      <w:rFonts w:eastAsiaTheme="majorEastAsia" w:cstheme="majorBidi"/>
      <w:i/>
      <w:iCs/>
      <w:color w:val="E5702A"/>
    </w:rPr>
  </w:style>
  <w:style w:type="paragraph" w:styleId="NoSpacing">
    <w:name w:val="No Spacing"/>
    <w:uiPriority w:val="1"/>
    <w:qFormat/>
    <w:rsid w:val="00715E49"/>
    <w:pPr>
      <w:spacing w:before="120" w:after="120"/>
    </w:pPr>
    <w:rPr>
      <w:color w:val="006A66"/>
      <w:sz w:val="28"/>
    </w:rPr>
  </w:style>
  <w:style w:type="character" w:styleId="PlaceholderText">
    <w:name w:val="Placeholder Text"/>
    <w:basedOn w:val="DefaultParagraphFont"/>
    <w:uiPriority w:val="99"/>
    <w:semiHidden/>
    <w:rsid w:val="009B478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B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1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15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6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953C18-F6EA-438F-B97E-4BD89DAD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4873</Characters>
  <Application>Microsoft Office Word</Application>
  <DocSecurity>0</DocSecurity>
  <Lines>85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Ramaromanana, Clara</cp:lastModifiedBy>
  <cp:revision>4</cp:revision>
  <cp:lastPrinted>2026-01-12T22:51:00Z</cp:lastPrinted>
  <dcterms:created xsi:type="dcterms:W3CDTF">2026-01-12T22:45:00Z</dcterms:created>
  <dcterms:modified xsi:type="dcterms:W3CDTF">2026-02-06T09:02:00Z</dcterms:modified>
</cp:coreProperties>
</file>