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D0E45" w14:textId="77777777" w:rsidR="002C2024" w:rsidRDefault="007D0FAD">
      <w:pPr>
        <w:pStyle w:val="Heading1"/>
        <w:spacing w:before="0" w:after="0"/>
        <w:jc w:val="center"/>
        <w:rPr>
          <w:sz w:val="36"/>
          <w:szCs w:val="36"/>
        </w:rPr>
      </w:pPr>
      <w:r>
        <w:rPr>
          <w:rFonts w:ascii="Calibri" w:eastAsia="Calibri" w:hAnsi="Calibri" w:cs="Calibri"/>
          <w:b w:val="0"/>
          <w:bCs w:val="0"/>
          <w:sz w:val="28"/>
          <w:szCs w:val="28"/>
        </w:rPr>
        <w:t>Concept Note for a Side Event on</w:t>
      </w:r>
    </w:p>
    <w:p w14:paraId="3DB1963F" w14:textId="11CC68D0" w:rsidR="00E55900" w:rsidRDefault="18F72CA7">
      <w:pPr>
        <w:pStyle w:val="Heading1"/>
        <w:spacing w:before="0" w:after="0"/>
        <w:jc w:val="center"/>
        <w:rPr>
          <w:color w:val="ED7D31"/>
          <w:sz w:val="40"/>
          <w:szCs w:val="40"/>
          <w:lang w:val="es-ES"/>
        </w:rPr>
      </w:pPr>
      <w:r w:rsidRPr="02C08B5C">
        <w:rPr>
          <w:color w:val="ED7D31" w:themeColor="accent2"/>
          <w:sz w:val="40"/>
          <w:szCs w:val="40"/>
          <w:lang w:val="es-ES"/>
        </w:rPr>
        <w:t>La</w:t>
      </w:r>
      <w:r w:rsidR="0E556CEF" w:rsidRPr="02C08B5C">
        <w:rPr>
          <w:color w:val="ED7D31" w:themeColor="accent2"/>
          <w:sz w:val="40"/>
          <w:szCs w:val="40"/>
          <w:lang w:val="es-ES"/>
        </w:rPr>
        <w:t xml:space="preserve">s </w:t>
      </w:r>
      <w:r w:rsidRPr="02C08B5C">
        <w:rPr>
          <w:color w:val="ED7D31" w:themeColor="accent2"/>
          <w:sz w:val="40"/>
          <w:szCs w:val="40"/>
          <w:lang w:val="es-ES"/>
        </w:rPr>
        <w:t>Américas</w:t>
      </w:r>
      <w:r w:rsidR="04B3263A" w:rsidRPr="02C08B5C">
        <w:rPr>
          <w:color w:val="ED7D31" w:themeColor="accent2"/>
          <w:sz w:val="40"/>
          <w:szCs w:val="40"/>
          <w:lang w:val="es-ES"/>
        </w:rPr>
        <w:t xml:space="preserve"> -</w:t>
      </w:r>
      <w:r w:rsidRPr="02C08B5C">
        <w:rPr>
          <w:color w:val="ED7D31" w:themeColor="accent2"/>
          <w:sz w:val="40"/>
          <w:szCs w:val="40"/>
          <w:lang w:val="es-ES"/>
        </w:rPr>
        <w:t>Alianzas clave para la erradicación del trabajo infantil: prevenir para erradicar</w:t>
      </w:r>
    </w:p>
    <w:p w14:paraId="352D0E46" w14:textId="6B8A8F8A" w:rsidR="002C2024" w:rsidRPr="00E55900" w:rsidRDefault="008E6BBA">
      <w:pPr>
        <w:pStyle w:val="Heading1"/>
        <w:spacing w:before="0" w:after="0"/>
        <w:jc w:val="center"/>
        <w:rPr>
          <w:color w:val="ED7D31"/>
          <w:sz w:val="28"/>
          <w:szCs w:val="28"/>
          <w:lang w:val="es-ES"/>
        </w:rPr>
      </w:pPr>
      <w:r w:rsidRPr="00E55900">
        <w:rPr>
          <w:i/>
          <w:iCs/>
          <w:color w:val="ED7D31"/>
          <w:sz w:val="28"/>
          <w:szCs w:val="28"/>
          <w:lang w:val="es-ES"/>
        </w:rPr>
        <w:t>Visión regional, compromiso nacional e impacto local</w:t>
      </w:r>
    </w:p>
    <w:p w14:paraId="352D0E47" w14:textId="77777777" w:rsidR="002C2024" w:rsidRDefault="007D0FAD">
      <w:pPr>
        <w:pStyle w:val="Heading1"/>
        <w:spacing w:after="0"/>
        <w:jc w:val="center"/>
        <w:rPr>
          <w:rFonts w:ascii="Calibri" w:eastAsia="Calibri" w:hAnsi="Calibri" w:cs="Calibri"/>
          <w:b w:val="0"/>
          <w:bCs w:val="0"/>
          <w:sz w:val="28"/>
          <w:szCs w:val="28"/>
        </w:rPr>
      </w:pPr>
      <w:r>
        <w:rPr>
          <w:rFonts w:ascii="Calibri" w:eastAsia="Calibri" w:hAnsi="Calibri" w:cs="Calibri"/>
          <w:b w:val="0"/>
          <w:bCs w:val="0"/>
          <w:sz w:val="28"/>
          <w:szCs w:val="28"/>
        </w:rPr>
        <w:t>at the 6th Global Conference on the Elimination of Child Labour, Marrakech, Morocco</w:t>
      </w:r>
    </w:p>
    <w:p w14:paraId="352D0E48" w14:textId="5EFB9219" w:rsidR="002C2024" w:rsidRDefault="001D09C0">
      <w:pPr>
        <w:pStyle w:val="Heading1"/>
        <w:spacing w:after="0"/>
        <w:jc w:val="center"/>
        <w:rPr>
          <w:rFonts w:ascii="Calibri" w:eastAsia="Calibri" w:hAnsi="Calibri" w:cs="Calibri"/>
          <w:sz w:val="28"/>
          <w:szCs w:val="28"/>
        </w:rPr>
      </w:pPr>
      <w:r>
        <w:rPr>
          <w:rFonts w:ascii="Calibri" w:eastAsia="Calibri" w:hAnsi="Calibri" w:cs="Calibri"/>
          <w:sz w:val="28"/>
          <w:szCs w:val="28"/>
        </w:rPr>
        <w:t>10 de febrero</w:t>
      </w:r>
      <w:r w:rsidR="007D0FAD">
        <w:rPr>
          <w:rFonts w:ascii="Calibri" w:eastAsia="Calibri" w:hAnsi="Calibri" w:cs="Calibri"/>
          <w:sz w:val="28"/>
          <w:szCs w:val="28"/>
        </w:rPr>
        <w:t xml:space="preserve"> | </w:t>
      </w:r>
      <w:r>
        <w:rPr>
          <w:rFonts w:ascii="Calibri" w:eastAsia="Calibri" w:hAnsi="Calibri" w:cs="Calibri"/>
          <w:sz w:val="28"/>
          <w:szCs w:val="28"/>
        </w:rPr>
        <w:t>16.30</w:t>
      </w:r>
      <w:r w:rsidR="00905DE2">
        <w:rPr>
          <w:rFonts w:ascii="Calibri" w:eastAsia="Calibri" w:hAnsi="Calibri" w:cs="Calibri"/>
          <w:sz w:val="28"/>
          <w:szCs w:val="28"/>
        </w:rPr>
        <w:t xml:space="preserve"> – 18.15</w:t>
      </w:r>
      <w:r w:rsidR="007D0FAD">
        <w:rPr>
          <w:rFonts w:ascii="Calibri" w:eastAsia="Calibri" w:hAnsi="Calibri" w:cs="Calibri"/>
          <w:sz w:val="28"/>
          <w:szCs w:val="28"/>
        </w:rPr>
        <w:t xml:space="preserve"> | Online</w:t>
      </w:r>
    </w:p>
    <w:p w14:paraId="352D0E4B" w14:textId="77777777" w:rsidR="002C2024" w:rsidRDefault="007D0FAD">
      <w:pPr>
        <w:pStyle w:val="Heading2"/>
        <w:numPr>
          <w:ilvl w:val="0"/>
          <w:numId w:val="1"/>
        </w:numPr>
        <w:ind w:left="567" w:hanging="425"/>
        <w:rPr>
          <w:color w:val="ED7D31"/>
          <w:sz w:val="36"/>
          <w:szCs w:val="36"/>
        </w:rPr>
      </w:pPr>
      <w:r>
        <w:rPr>
          <w:color w:val="ED7D31"/>
          <w:sz w:val="36"/>
          <w:szCs w:val="36"/>
        </w:rPr>
        <w:t>Keywords</w:t>
      </w:r>
    </w:p>
    <w:p w14:paraId="352D0E4C" w14:textId="64DD6DF9" w:rsidR="002C2024" w:rsidRPr="00A96127" w:rsidRDefault="00EF6174">
      <w:pPr>
        <w:rPr>
          <w:color w:val="006A66"/>
          <w:sz w:val="28"/>
          <w:szCs w:val="28"/>
          <w:lang w:val="es-ES"/>
        </w:rPr>
      </w:pPr>
      <w:r w:rsidRPr="00A96127">
        <w:rPr>
          <w:color w:val="006A66"/>
          <w:sz w:val="28"/>
          <w:szCs w:val="28"/>
          <w:lang w:val="es-ES"/>
        </w:rPr>
        <w:t>Prevención trabajo infantil;</w:t>
      </w:r>
      <w:r w:rsidR="00A96127" w:rsidRPr="00A96127">
        <w:rPr>
          <w:color w:val="006A66"/>
          <w:sz w:val="28"/>
          <w:szCs w:val="28"/>
          <w:lang w:val="es-ES"/>
        </w:rPr>
        <w:t xml:space="preserve"> Cooperación interin</w:t>
      </w:r>
      <w:r w:rsidR="00A96127">
        <w:rPr>
          <w:color w:val="006A66"/>
          <w:sz w:val="28"/>
          <w:szCs w:val="28"/>
          <w:lang w:val="es-ES"/>
        </w:rPr>
        <w:t>stitucional; Diálogo Social;</w:t>
      </w:r>
      <w:r w:rsidR="00E927BB">
        <w:rPr>
          <w:color w:val="006A66"/>
          <w:sz w:val="28"/>
          <w:szCs w:val="28"/>
          <w:lang w:val="es-ES"/>
        </w:rPr>
        <w:t xml:space="preserve"> </w:t>
      </w:r>
    </w:p>
    <w:p w14:paraId="352D0E4D" w14:textId="77777777" w:rsidR="002C2024" w:rsidRDefault="007D0FAD">
      <w:pPr>
        <w:rPr>
          <w:color w:val="006A66"/>
          <w:sz w:val="28"/>
          <w:szCs w:val="28"/>
        </w:rPr>
      </w:pPr>
      <w:r>
        <w:rPr>
          <w:b/>
          <w:bCs/>
          <w:color w:val="006A66"/>
          <w:sz w:val="28"/>
          <w:szCs w:val="28"/>
        </w:rPr>
        <w:t xml:space="preserve">Examples: </w:t>
      </w:r>
      <w:r>
        <w:rPr>
          <w:color w:val="006A66"/>
          <w:sz w:val="28"/>
          <w:szCs w:val="28"/>
        </w:rPr>
        <w:t>SDG 8.7; Social protection; Conflicts and crisis contexts…</w:t>
      </w:r>
    </w:p>
    <w:p w14:paraId="352D0E4E" w14:textId="77777777" w:rsidR="002C2024" w:rsidRDefault="007D0FAD">
      <w:pPr>
        <w:pStyle w:val="Heading2"/>
        <w:numPr>
          <w:ilvl w:val="0"/>
          <w:numId w:val="1"/>
        </w:numPr>
        <w:ind w:left="567" w:hanging="425"/>
        <w:rPr>
          <w:color w:val="ED7D31"/>
          <w:sz w:val="36"/>
          <w:szCs w:val="36"/>
        </w:rPr>
      </w:pPr>
      <w:r>
        <w:rPr>
          <w:color w:val="ED7D31"/>
          <w:sz w:val="36"/>
          <w:szCs w:val="36"/>
        </w:rPr>
        <w:t xml:space="preserve"> Background &amp; Rationale</w:t>
      </w:r>
    </w:p>
    <w:p w14:paraId="37D09166" w14:textId="77777777" w:rsidR="00DC7C5D" w:rsidRPr="00DC7C5D" w:rsidRDefault="00DC7C5D" w:rsidP="00DC7C5D">
      <w:pPr>
        <w:rPr>
          <w:color w:val="006A66"/>
          <w:sz w:val="28"/>
          <w:szCs w:val="28"/>
          <w:lang w:val="es-ES"/>
        </w:rPr>
      </w:pPr>
      <w:r w:rsidRPr="00DC7C5D">
        <w:rPr>
          <w:color w:val="006A66"/>
          <w:sz w:val="28"/>
          <w:szCs w:val="28"/>
          <w:lang w:val="es-ES"/>
        </w:rPr>
        <w:t>El trabajo infantil sigue siendo un desafío central a nivel mundial. Las estimaciones más recientes indican que 137,6 millones de niños, niñas y adolescentes se encuentran en situación de trabajo infantil, de los cuales 54 millones realizan trabajos peligrosos, lo que evidencia que el ritmo de progreso continúa siendo insuficiente para alcanzar la erradicación.</w:t>
      </w:r>
    </w:p>
    <w:p w14:paraId="5766B944" w14:textId="77777777" w:rsidR="00DC7C5D" w:rsidRPr="00DC7C5D" w:rsidRDefault="00DC7C5D" w:rsidP="00DC7C5D">
      <w:pPr>
        <w:rPr>
          <w:color w:val="006A66"/>
          <w:sz w:val="28"/>
          <w:szCs w:val="28"/>
          <w:lang w:val="es-ES"/>
        </w:rPr>
      </w:pPr>
      <w:r w:rsidRPr="00DC7C5D">
        <w:rPr>
          <w:color w:val="006A66"/>
          <w:sz w:val="28"/>
          <w:szCs w:val="28"/>
          <w:lang w:val="es-ES"/>
        </w:rPr>
        <w:t>En este contexto, América Latina y el Caribe (ALAC) muestra una evolución particular. Desde que se dispone de mediciones comparables, la región ha reducido el trabajo infantil en más del 50 %, alcanzando actualmente una estimación de 7,1 millones de niños, niñas y adolescentes en esta situación. Si bien estos avances son relevantes, el trabajo infantil persiste y los progresos siguen siendo desiguales entre países y territorios, con brechas asociadas a la ruralidad, la informalidad y las desigualdades estructurales.</w:t>
      </w:r>
    </w:p>
    <w:p w14:paraId="1ADE3CEC" w14:textId="77777777" w:rsidR="00DC7C5D" w:rsidRPr="00DC7C5D" w:rsidRDefault="00DC7C5D" w:rsidP="00DC7C5D">
      <w:pPr>
        <w:rPr>
          <w:color w:val="006A66"/>
          <w:sz w:val="28"/>
          <w:szCs w:val="28"/>
          <w:lang w:val="es-ES"/>
        </w:rPr>
      </w:pPr>
      <w:r w:rsidRPr="00DC7C5D">
        <w:rPr>
          <w:color w:val="006A66"/>
          <w:sz w:val="28"/>
          <w:szCs w:val="28"/>
          <w:lang w:val="es-ES"/>
        </w:rPr>
        <w:t>La experiencia regional evidencia la importancia de contar con marcos compartidos, coordinación entre actores y coherencia entre niveles de intervención. En el escenario actual, el principal desafío es alinear compromisos globales, prioridades regionales y respuestas nacionales, evitando la fragmentación de esfuerzos y reforzando enfoques preventivos sostenibles.</w:t>
      </w:r>
    </w:p>
    <w:p w14:paraId="040A691A" w14:textId="77777777" w:rsidR="008328E7" w:rsidRPr="008328E7" w:rsidRDefault="00DC7C5D" w:rsidP="008328E7">
      <w:pPr>
        <w:rPr>
          <w:color w:val="006A66"/>
          <w:sz w:val="28"/>
          <w:szCs w:val="28"/>
          <w:lang w:val="es-ES"/>
        </w:rPr>
      </w:pPr>
      <w:r w:rsidRPr="008328E7">
        <w:rPr>
          <w:color w:val="006A66"/>
          <w:sz w:val="28"/>
          <w:szCs w:val="28"/>
          <w:lang w:val="es-ES"/>
        </w:rPr>
        <w:t xml:space="preserve">En este marco, el evento busca </w:t>
      </w:r>
      <w:r w:rsidR="008328E7" w:rsidRPr="008328E7">
        <w:rPr>
          <w:color w:val="006A66"/>
          <w:sz w:val="28"/>
          <w:szCs w:val="28"/>
          <w:lang w:val="es-ES"/>
        </w:rPr>
        <w:t>Impulsar un compromiso interinstitucional, político y social renovado, que articule a los distintos actores del mundo del trabajo y del desarrollo, con el fin de fortalecer respuestas coherentes, integradas y sostenibles para la erradicación del trabajo infantil.</w:t>
      </w:r>
    </w:p>
    <w:p w14:paraId="5AD3EDB1" w14:textId="7F7A25A2" w:rsidR="00DC7C5D" w:rsidRPr="00DC7C5D" w:rsidRDefault="008328E7" w:rsidP="00DC7C5D">
      <w:pPr>
        <w:rPr>
          <w:color w:val="006A66"/>
          <w:sz w:val="28"/>
          <w:szCs w:val="28"/>
          <w:lang w:val="es-ES"/>
        </w:rPr>
      </w:pPr>
      <w:r>
        <w:rPr>
          <w:color w:val="006A66"/>
          <w:sz w:val="28"/>
          <w:szCs w:val="28"/>
          <w:lang w:val="es-ES"/>
        </w:rPr>
        <w:t>De esta manera, se pone en</w:t>
      </w:r>
      <w:r w:rsidR="00DC7C5D" w:rsidRPr="5D086CF5">
        <w:rPr>
          <w:color w:val="006A66"/>
          <w:sz w:val="28"/>
          <w:szCs w:val="28"/>
          <w:lang w:val="es-ES"/>
        </w:rPr>
        <w:t xml:space="preserve"> valor la importancia de avanzar de manera alineada, dando a conocer las prioridades regionales surgidas de la Consulta de las Américas, tal como han sido integradas en el Plan Estratégico de la </w:t>
      </w:r>
      <w:r w:rsidR="00DC7C5D" w:rsidRPr="00040AB4">
        <w:rPr>
          <w:color w:val="006A66"/>
          <w:sz w:val="28"/>
          <w:szCs w:val="28"/>
          <w:highlight w:val="lightGray"/>
          <w:lang w:val="es-ES"/>
        </w:rPr>
        <w:t>Iniciativa Regional</w:t>
      </w:r>
      <w:r w:rsidR="00040AB4">
        <w:rPr>
          <w:color w:val="006A66"/>
          <w:sz w:val="28"/>
          <w:szCs w:val="28"/>
          <w:lang w:val="es-ES"/>
        </w:rPr>
        <w:t xml:space="preserve"> América Latina y el Caribe Libre de Trabajo Infantil</w:t>
      </w:r>
      <w:r w:rsidR="00DC7C5D" w:rsidRPr="5D086CF5">
        <w:rPr>
          <w:color w:val="006A66"/>
          <w:sz w:val="28"/>
          <w:szCs w:val="28"/>
          <w:lang w:val="es-ES"/>
        </w:rPr>
        <w:t>, y destacando su doble función: contribuir a la agenda global y orientar los esfuerzos nacionales en la prevención y erradicación del trabajo infantil.</w:t>
      </w:r>
    </w:p>
    <w:p w14:paraId="352D0E50" w14:textId="77777777" w:rsidR="002C2024" w:rsidRDefault="007D0FAD">
      <w:pPr>
        <w:pStyle w:val="Heading2"/>
        <w:numPr>
          <w:ilvl w:val="0"/>
          <w:numId w:val="1"/>
        </w:numPr>
        <w:ind w:left="567" w:hanging="283"/>
        <w:rPr>
          <w:color w:val="ED7D31"/>
          <w:sz w:val="36"/>
          <w:szCs w:val="36"/>
        </w:rPr>
      </w:pPr>
      <w:r>
        <w:rPr>
          <w:color w:val="ED7D31"/>
          <w:sz w:val="36"/>
          <w:szCs w:val="36"/>
        </w:rPr>
        <w:t>Key Objectives</w:t>
      </w:r>
    </w:p>
    <w:p w14:paraId="5BA7DEBC" w14:textId="1227FD84" w:rsidR="008328E7" w:rsidRPr="008328E7" w:rsidRDefault="008328E7" w:rsidP="008328E7">
      <w:pPr>
        <w:pStyle w:val="ListParagraph"/>
        <w:numPr>
          <w:ilvl w:val="0"/>
          <w:numId w:val="4"/>
        </w:numPr>
        <w:rPr>
          <w:color w:val="006A66"/>
          <w:sz w:val="28"/>
          <w:szCs w:val="28"/>
          <w:lang w:val="es-ES"/>
        </w:rPr>
      </w:pPr>
      <w:r w:rsidRPr="008328E7">
        <w:rPr>
          <w:color w:val="006A66"/>
          <w:sz w:val="28"/>
          <w:szCs w:val="28"/>
          <w:lang w:val="es-ES"/>
        </w:rPr>
        <w:t>Impulsar un compromiso interinstitucional, político y social renovado, que articule a los distintos actores del mundo del trabajo y del desarrollo, con el fin de fortalecer respuestas coherentes, integradas y sostenibles para la erradicación del trabajo infantil.</w:t>
      </w:r>
    </w:p>
    <w:p w14:paraId="21CD2826" w14:textId="77777777" w:rsidR="00CC4B05" w:rsidRPr="00CC4B05" w:rsidRDefault="00CC4B05" w:rsidP="00CC4B05">
      <w:pPr>
        <w:pStyle w:val="ListParagraph"/>
        <w:numPr>
          <w:ilvl w:val="0"/>
          <w:numId w:val="4"/>
        </w:numPr>
        <w:rPr>
          <w:color w:val="006A66"/>
          <w:sz w:val="28"/>
          <w:szCs w:val="28"/>
          <w:lang w:val="es-ES"/>
        </w:rPr>
      </w:pPr>
      <w:r w:rsidRPr="00CC4B05">
        <w:rPr>
          <w:color w:val="006A66"/>
          <w:sz w:val="28"/>
          <w:szCs w:val="28"/>
          <w:lang w:val="es-ES"/>
        </w:rPr>
        <w:t>Presentar las prioridades regionales definidas en la Consulta de las Américas e integradas en el Plan Estratégico de la Iniciativa Regional.</w:t>
      </w:r>
    </w:p>
    <w:p w14:paraId="09209E20" w14:textId="77777777" w:rsidR="00CC4B05" w:rsidRPr="00CC4B05" w:rsidRDefault="00CC4B05" w:rsidP="00CC4B05">
      <w:pPr>
        <w:pStyle w:val="ListParagraph"/>
        <w:numPr>
          <w:ilvl w:val="0"/>
          <w:numId w:val="4"/>
        </w:numPr>
        <w:rPr>
          <w:color w:val="006A66"/>
          <w:sz w:val="28"/>
          <w:szCs w:val="28"/>
          <w:lang w:val="es-ES"/>
        </w:rPr>
      </w:pPr>
      <w:r w:rsidRPr="00CC4B05">
        <w:rPr>
          <w:color w:val="006A66"/>
          <w:sz w:val="28"/>
          <w:szCs w:val="28"/>
          <w:lang w:val="es-ES"/>
        </w:rPr>
        <w:t>Reforzar la importancia de la alineación entre la agenda global, los marcos regionales y las respuestas nacionales frente al trabajo infantil.</w:t>
      </w:r>
    </w:p>
    <w:p w14:paraId="6181BD89" w14:textId="77777777" w:rsidR="00AB1F58" w:rsidRDefault="00AB1F58" w:rsidP="00CC4B05">
      <w:pPr>
        <w:pStyle w:val="ListParagraph"/>
        <w:numPr>
          <w:ilvl w:val="0"/>
          <w:numId w:val="4"/>
        </w:numPr>
        <w:rPr>
          <w:color w:val="006A66"/>
          <w:sz w:val="28"/>
          <w:szCs w:val="28"/>
          <w:lang w:val="es-ES"/>
        </w:rPr>
      </w:pPr>
      <w:r w:rsidRPr="00AB1F58">
        <w:rPr>
          <w:color w:val="006A66"/>
          <w:sz w:val="28"/>
          <w:szCs w:val="28"/>
          <w:lang w:val="es-ES"/>
        </w:rPr>
        <w:t>Consolidar una comprensión común sobre el trabajo infantil y sus causas, y estimular la consideración de enfoques innovadores que contribuyan a fortalecer las respuestas a nivel regional y nacional.</w:t>
      </w:r>
    </w:p>
    <w:p w14:paraId="75360E15" w14:textId="7DEDC001" w:rsidR="00CC4B05" w:rsidRPr="00CC4B05" w:rsidRDefault="00CC4B05" w:rsidP="00CC4B05">
      <w:pPr>
        <w:pStyle w:val="ListParagraph"/>
        <w:numPr>
          <w:ilvl w:val="0"/>
          <w:numId w:val="4"/>
        </w:numPr>
        <w:rPr>
          <w:color w:val="006A66"/>
          <w:sz w:val="28"/>
          <w:szCs w:val="28"/>
          <w:lang w:val="es-ES"/>
        </w:rPr>
      </w:pPr>
      <w:r w:rsidRPr="00CC4B05">
        <w:rPr>
          <w:color w:val="006A66"/>
          <w:sz w:val="28"/>
          <w:szCs w:val="28"/>
          <w:lang w:val="es-ES"/>
        </w:rPr>
        <w:t xml:space="preserve">Favorecer la reflexión y el intercambio sobre enfoques y respuestas innovadoras, que </w:t>
      </w:r>
      <w:r w:rsidR="00940CCD">
        <w:rPr>
          <w:color w:val="006A66"/>
          <w:sz w:val="28"/>
          <w:szCs w:val="28"/>
          <w:lang w:val="es-ES"/>
        </w:rPr>
        <w:t>contribuyan a</w:t>
      </w:r>
      <w:r w:rsidRPr="00CC4B05">
        <w:rPr>
          <w:color w:val="006A66"/>
          <w:sz w:val="28"/>
          <w:szCs w:val="28"/>
          <w:lang w:val="es-ES"/>
        </w:rPr>
        <w:t xml:space="preserve"> enriquecer las políticas y acciones existentes.</w:t>
      </w:r>
    </w:p>
    <w:p w14:paraId="44EC4064" w14:textId="366096C9" w:rsidR="00DC7C5D" w:rsidRPr="00CC4B05" w:rsidRDefault="00CC4B05" w:rsidP="00CC4B05">
      <w:pPr>
        <w:pStyle w:val="ListParagraph"/>
        <w:numPr>
          <w:ilvl w:val="0"/>
          <w:numId w:val="4"/>
        </w:numPr>
        <w:rPr>
          <w:color w:val="006A66"/>
          <w:sz w:val="28"/>
          <w:szCs w:val="28"/>
          <w:lang w:val="es-ES"/>
        </w:rPr>
      </w:pPr>
      <w:r w:rsidRPr="00CC4B05">
        <w:rPr>
          <w:color w:val="006A66"/>
          <w:sz w:val="28"/>
          <w:szCs w:val="28"/>
          <w:lang w:val="es-ES"/>
        </w:rPr>
        <w:t>Visibilizar el aporte regional a la agenda global y su función orientadora para los esfuerzos nacionales.</w:t>
      </w:r>
    </w:p>
    <w:p w14:paraId="352D0E52" w14:textId="440BDC1E" w:rsidR="002C2024" w:rsidRDefault="007D0FAD">
      <w:pPr>
        <w:pStyle w:val="Heading2"/>
        <w:numPr>
          <w:ilvl w:val="0"/>
          <w:numId w:val="1"/>
        </w:numPr>
        <w:ind w:left="567" w:hanging="283"/>
        <w:rPr>
          <w:color w:val="ED7D31"/>
          <w:sz w:val="36"/>
          <w:szCs w:val="36"/>
        </w:rPr>
      </w:pPr>
      <w:r>
        <w:rPr>
          <w:color w:val="ED7D31"/>
          <w:sz w:val="36"/>
          <w:szCs w:val="36"/>
        </w:rPr>
        <w:t xml:space="preserve">Expected Outcomes </w:t>
      </w:r>
    </w:p>
    <w:p w14:paraId="65D80DE3" w14:textId="4C257F0F" w:rsidR="00CD2D87" w:rsidRPr="00CD2D87" w:rsidRDefault="00CD2D87" w:rsidP="00CD2D87">
      <w:pPr>
        <w:pStyle w:val="NoSpacing"/>
        <w:numPr>
          <w:ilvl w:val="0"/>
          <w:numId w:val="9"/>
        </w:numPr>
        <w:rPr>
          <w:lang w:val="es-ES"/>
        </w:rPr>
      </w:pPr>
      <w:r w:rsidRPr="00CD2D87">
        <w:rPr>
          <w:b/>
          <w:bCs/>
          <w:lang w:val="es-ES"/>
        </w:rPr>
        <w:t>Alianzas estratégicas e innovadoras fortalecidas</w:t>
      </w:r>
      <w:r w:rsidRPr="00CD2D87">
        <w:rPr>
          <w:lang w:val="es-ES"/>
        </w:rPr>
        <w:t>, reflejadas en una mayor claridad de roles y complementariedades entre los constituyentes tripartitos, las organizaciones regionales e internacionales y los socios para el desarrollo, así como en la identificación de oportunidades concretas de acción conjunta y colaboración para avanzar en la prevención y erradicación del trabajo infantil.</w:t>
      </w:r>
    </w:p>
    <w:p w14:paraId="2C99B80D" w14:textId="55882F8D" w:rsidR="00CD2D87" w:rsidRPr="00CD2D87" w:rsidRDefault="00CD2D87" w:rsidP="00CD2D87">
      <w:pPr>
        <w:pStyle w:val="NoSpacing"/>
        <w:numPr>
          <w:ilvl w:val="0"/>
          <w:numId w:val="9"/>
        </w:numPr>
        <w:rPr>
          <w:lang w:val="es-ES"/>
        </w:rPr>
      </w:pPr>
      <w:r w:rsidRPr="00CD2D87">
        <w:rPr>
          <w:b/>
          <w:bCs/>
          <w:lang w:val="es-ES"/>
        </w:rPr>
        <w:t>Mayor coherencia regional y alineación orientada a la acción</w:t>
      </w:r>
      <w:r w:rsidRPr="00CD2D87">
        <w:rPr>
          <w:lang w:val="es-ES"/>
        </w:rPr>
        <w:t>, traducida en prioridades compartidas y puntos de entrada prácticos para articular mejor los compromisos globales, los marcos regionales y las respuestas nacionales, y para apoyar el diseño y la implementación de enfoques integrados y preventivos a nivel nacional y territorial.</w:t>
      </w:r>
    </w:p>
    <w:p w14:paraId="753E97D1" w14:textId="2036847F" w:rsidR="00CD2D87" w:rsidRDefault="00CD2D87" w:rsidP="00CD2D87">
      <w:pPr>
        <w:pStyle w:val="NoSpacing"/>
        <w:ind w:left="360"/>
        <w:rPr>
          <w:lang w:val="es-ES"/>
        </w:rPr>
      </w:pPr>
      <w:r>
        <w:rPr>
          <w:lang w:val="es-ES"/>
        </w:rPr>
        <w:t xml:space="preserve"> </w:t>
      </w:r>
    </w:p>
    <w:p w14:paraId="352D0E5A" w14:textId="77777777" w:rsidR="002C2024" w:rsidRDefault="007D0FAD">
      <w:pPr>
        <w:pStyle w:val="Heading2"/>
        <w:numPr>
          <w:ilvl w:val="0"/>
          <w:numId w:val="1"/>
        </w:numPr>
        <w:ind w:left="567" w:hanging="283"/>
        <w:rPr>
          <w:color w:val="ED7D31"/>
          <w:sz w:val="36"/>
          <w:szCs w:val="36"/>
        </w:rPr>
      </w:pPr>
      <w:r>
        <w:rPr>
          <w:color w:val="ED7D31"/>
          <w:sz w:val="36"/>
          <w:szCs w:val="36"/>
        </w:rPr>
        <w:t>Session Format</w:t>
      </w:r>
    </w:p>
    <w:p w14:paraId="5E0D603A" w14:textId="77777777" w:rsidR="00B85592" w:rsidRPr="004A1843" w:rsidRDefault="00B85592" w:rsidP="00B85592">
      <w:pPr>
        <w:pStyle w:val="NoSpacing"/>
        <w:rPr>
          <w:lang w:val="es-ES"/>
        </w:rPr>
      </w:pPr>
      <w:r w:rsidRPr="5D086CF5">
        <w:rPr>
          <w:b/>
          <w:bCs/>
          <w:lang w:val="es-ES"/>
        </w:rPr>
        <w:t>Idioma:</w:t>
      </w:r>
      <w:r w:rsidRPr="5D086CF5">
        <w:rPr>
          <w:lang w:val="es-ES"/>
        </w:rPr>
        <w:t xml:space="preserve"> Español e inglés, con interpretación a otros idiomas a través del aplicativo Wordly</w:t>
      </w:r>
    </w:p>
    <w:p w14:paraId="42316F8E" w14:textId="77777777" w:rsidR="00B85592" w:rsidRPr="00A405BD" w:rsidRDefault="00B85592" w:rsidP="00B85592">
      <w:pPr>
        <w:pStyle w:val="NoSpacing"/>
        <w:rPr>
          <w:lang w:val="es-ES"/>
        </w:rPr>
      </w:pPr>
      <w:r w:rsidRPr="00A405BD">
        <w:rPr>
          <w:lang w:val="es-ES"/>
        </w:rPr>
        <w:t xml:space="preserve">La sesión se organizará en formato de </w:t>
      </w:r>
      <w:r w:rsidRPr="00A405BD">
        <w:rPr>
          <w:b/>
          <w:bCs/>
          <w:lang w:val="es-ES"/>
        </w:rPr>
        <w:t>mesa redonda</w:t>
      </w:r>
      <w:r w:rsidRPr="00A405BD">
        <w:rPr>
          <w:lang w:val="es-ES"/>
        </w:rPr>
        <w:t>, concebida como un espacio de diálogo estructurado entre representantes de distintos ámbitos y niveles. Las intervenciones iniciales de los participantes serán breves y orientadas a aportar perspectivas complementarias sobre las prioridades regionales, seguidas de un intercambio moderado que facilite la reflexión conjunta y el diálogo con el público.</w:t>
      </w:r>
    </w:p>
    <w:p w14:paraId="7D91764B" w14:textId="77777777" w:rsidR="00B85592" w:rsidRPr="00A405BD" w:rsidRDefault="00B85592" w:rsidP="00B85592">
      <w:pPr>
        <w:pStyle w:val="NoSpacing"/>
        <w:rPr>
          <w:lang w:val="es-ES"/>
        </w:rPr>
      </w:pPr>
      <w:r w:rsidRPr="00A405BD">
        <w:rPr>
          <w:lang w:val="es-ES"/>
        </w:rPr>
        <w:t xml:space="preserve">El formato de </w:t>
      </w:r>
      <w:r w:rsidRPr="00A405BD">
        <w:rPr>
          <w:i/>
          <w:iCs/>
          <w:lang w:val="es-ES"/>
        </w:rPr>
        <w:t>roundtable</w:t>
      </w:r>
      <w:r w:rsidRPr="00A405BD">
        <w:rPr>
          <w:lang w:val="es-ES"/>
        </w:rPr>
        <w:t xml:space="preserve"> permitirá promover una conversación abierta y equilibrada, favoreciendo el intercambio de experiencias, la identificación de puntos de convergencia y la puesta en común de enfoques y respuestas innovadoras, en coherencia con los marcos regionales y globales existentes.</w:t>
      </w:r>
    </w:p>
    <w:p w14:paraId="352D0E5C" w14:textId="77777777" w:rsidR="002C2024" w:rsidRDefault="007D0FAD">
      <w:pPr>
        <w:pStyle w:val="Heading2"/>
        <w:numPr>
          <w:ilvl w:val="0"/>
          <w:numId w:val="1"/>
        </w:numPr>
        <w:ind w:left="567" w:hanging="283"/>
        <w:rPr>
          <w:color w:val="ED7D31"/>
          <w:sz w:val="36"/>
          <w:szCs w:val="36"/>
        </w:rPr>
      </w:pPr>
      <w:r>
        <w:rPr>
          <w:color w:val="ED7D31"/>
          <w:sz w:val="36"/>
          <w:szCs w:val="36"/>
        </w:rPr>
        <w:t>Proposed speakers and targeted audience</w:t>
      </w:r>
    </w:p>
    <w:p w14:paraId="2E982CBE" w14:textId="77777777" w:rsidR="00FD7203" w:rsidRPr="00FD7203" w:rsidRDefault="00FD7203" w:rsidP="00FD7203">
      <w:pPr>
        <w:pStyle w:val="NoSpacing"/>
        <w:rPr>
          <w:lang w:val="es-ES"/>
        </w:rPr>
      </w:pPr>
      <w:r w:rsidRPr="00FD7203">
        <w:rPr>
          <w:lang w:val="es-ES"/>
        </w:rPr>
        <w:t>El panel estará integrado por altas autoridades gubernamentales de la región, así como por representantes de organizaciones de empleadores y de trabajadores, y actores de la sociedad civil, con reconocida experiencia y compromiso en la prevención y erradicación del trabajo infantil.</w:t>
      </w:r>
    </w:p>
    <w:p w14:paraId="1EF94B4E" w14:textId="77777777" w:rsidR="00FD7203" w:rsidRPr="00FD7203" w:rsidRDefault="00FD7203" w:rsidP="00FD7203">
      <w:pPr>
        <w:pStyle w:val="NoSpacing"/>
        <w:rPr>
          <w:lang w:val="es-ES"/>
        </w:rPr>
      </w:pPr>
      <w:r w:rsidRPr="00FD7203">
        <w:rPr>
          <w:lang w:val="es-ES"/>
        </w:rPr>
        <w:t>La audiencia objetivo incluye responsables de políticas públicas, interlocutores sociales, organizaciones de la sociedad civil, organismos internacionales y otros actores clave interesados en contribuir a la prevención y erradicación del trabajo infantil (PETI), en coherencia con las prioridades definidas durante la Consulta Regional de las Américas y su aporte a la agenda global.</w:t>
      </w:r>
    </w:p>
    <w:p w14:paraId="352D0E5E" w14:textId="77777777" w:rsidR="002C2024" w:rsidRDefault="007D0FAD">
      <w:pPr>
        <w:pStyle w:val="Heading2"/>
        <w:numPr>
          <w:ilvl w:val="0"/>
          <w:numId w:val="1"/>
        </w:numPr>
        <w:ind w:left="567" w:hanging="283"/>
        <w:rPr>
          <w:color w:val="ED7D31"/>
          <w:sz w:val="36"/>
          <w:szCs w:val="36"/>
        </w:rPr>
      </w:pPr>
      <w:r>
        <w:rPr>
          <w:color w:val="ED7D31"/>
          <w:sz w:val="36"/>
          <w:szCs w:val="36"/>
        </w:rPr>
        <w:t>Session Flow</w:t>
      </w:r>
    </w:p>
    <w:p w14:paraId="352D0E60" w14:textId="6A9B8CB4" w:rsidR="002C2024" w:rsidRDefault="002C2024">
      <w:pPr>
        <w:pBdr>
          <w:top w:val="nil"/>
          <w:left w:val="nil"/>
          <w:bottom w:val="nil"/>
          <w:right w:val="nil"/>
          <w:between w:val="nil"/>
        </w:pBdr>
        <w:spacing w:line="264" w:lineRule="auto"/>
        <w:jc w:val="left"/>
        <w:rPr>
          <w:color w:val="006A66"/>
          <w:sz w:val="28"/>
          <w:szCs w:val="28"/>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3"/>
        <w:gridCol w:w="2800"/>
        <w:gridCol w:w="1741"/>
        <w:gridCol w:w="2688"/>
      </w:tblGrid>
      <w:tr w:rsidR="005E7930" w14:paraId="347A024E" w14:textId="77777777" w:rsidTr="0017238A">
        <w:tc>
          <w:tcPr>
            <w:tcW w:w="1833" w:type="dxa"/>
            <w:tcBorders>
              <w:bottom w:val="single" w:sz="4" w:space="0" w:color="000000" w:themeColor="text1"/>
            </w:tcBorders>
          </w:tcPr>
          <w:p w14:paraId="23885858"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Slot</w:t>
            </w:r>
          </w:p>
        </w:tc>
        <w:tc>
          <w:tcPr>
            <w:tcW w:w="2800" w:type="dxa"/>
            <w:tcBorders>
              <w:bottom w:val="single" w:sz="4" w:space="0" w:color="000000" w:themeColor="text1"/>
            </w:tcBorders>
          </w:tcPr>
          <w:p w14:paraId="40B1FDFD"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Segment</w:t>
            </w:r>
          </w:p>
        </w:tc>
        <w:tc>
          <w:tcPr>
            <w:tcW w:w="1741" w:type="dxa"/>
            <w:tcBorders>
              <w:bottom w:val="single" w:sz="4" w:space="0" w:color="000000" w:themeColor="text1"/>
            </w:tcBorders>
          </w:tcPr>
          <w:p w14:paraId="07699A78"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Lead</w:t>
            </w:r>
          </w:p>
        </w:tc>
        <w:tc>
          <w:tcPr>
            <w:tcW w:w="2688" w:type="dxa"/>
            <w:tcBorders>
              <w:bottom w:val="single" w:sz="4" w:space="0" w:color="000000" w:themeColor="text1"/>
            </w:tcBorders>
          </w:tcPr>
          <w:p w14:paraId="7957B2F9"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Description / Notes</w:t>
            </w:r>
          </w:p>
        </w:tc>
      </w:tr>
      <w:tr w:rsidR="005E7930" w:rsidRPr="00CD2D87" w14:paraId="2D9A9F70" w14:textId="77777777" w:rsidTr="0017238A">
        <w:tc>
          <w:tcPr>
            <w:tcW w:w="1833" w:type="dxa"/>
            <w:tcBorders>
              <w:bottom w:val="single" w:sz="4" w:space="0" w:color="000000" w:themeColor="text1"/>
            </w:tcBorders>
          </w:tcPr>
          <w:p w14:paraId="47B729F3"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3-5 mins</w:t>
            </w:r>
          </w:p>
        </w:tc>
        <w:tc>
          <w:tcPr>
            <w:tcW w:w="2800" w:type="dxa"/>
            <w:tcBorders>
              <w:bottom w:val="single" w:sz="4" w:space="0" w:color="000000" w:themeColor="text1"/>
            </w:tcBorders>
          </w:tcPr>
          <w:p w14:paraId="58D13148"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Apertura</w:t>
            </w:r>
          </w:p>
        </w:tc>
        <w:tc>
          <w:tcPr>
            <w:tcW w:w="1741" w:type="dxa"/>
            <w:tcBorders>
              <w:bottom w:val="single" w:sz="4" w:space="0" w:color="000000" w:themeColor="text1"/>
            </w:tcBorders>
          </w:tcPr>
          <w:p w14:paraId="6C5C8779"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Moderator / MC</w:t>
            </w:r>
          </w:p>
        </w:tc>
        <w:tc>
          <w:tcPr>
            <w:tcW w:w="2688" w:type="dxa"/>
            <w:tcBorders>
              <w:bottom w:val="single" w:sz="4" w:space="0" w:color="000000" w:themeColor="text1"/>
            </w:tcBorders>
          </w:tcPr>
          <w:p w14:paraId="34C61183" w14:textId="77777777" w:rsidR="005E7930" w:rsidRPr="00A64245" w:rsidRDefault="005E7930">
            <w:pPr>
              <w:pBdr>
                <w:top w:val="nil"/>
                <w:left w:val="nil"/>
                <w:bottom w:val="nil"/>
                <w:right w:val="nil"/>
                <w:between w:val="nil"/>
              </w:pBdr>
              <w:spacing w:line="264" w:lineRule="auto"/>
              <w:jc w:val="left"/>
              <w:rPr>
                <w:color w:val="006A66"/>
                <w:sz w:val="28"/>
                <w:szCs w:val="28"/>
                <w:lang w:val="es-ES"/>
              </w:rPr>
            </w:pPr>
            <w:r w:rsidRPr="00A64245">
              <w:rPr>
                <w:color w:val="006A66"/>
                <w:sz w:val="28"/>
                <w:szCs w:val="28"/>
                <w:lang w:val="es-ES"/>
              </w:rPr>
              <w:t>Presentación de los objetivos y</w:t>
            </w:r>
            <w:r>
              <w:rPr>
                <w:color w:val="006A66"/>
                <w:sz w:val="28"/>
                <w:szCs w:val="28"/>
                <w:lang w:val="es-ES"/>
              </w:rPr>
              <w:t xml:space="preserve"> el enfoque de la sesión</w:t>
            </w:r>
          </w:p>
        </w:tc>
      </w:tr>
      <w:tr w:rsidR="005E7930" w:rsidRPr="00CD2D87" w14:paraId="220F4E25" w14:textId="77777777" w:rsidTr="0017238A">
        <w:trPr>
          <w:trHeight w:val="239"/>
        </w:trPr>
        <w:tc>
          <w:tcPr>
            <w:tcW w:w="1833" w:type="dxa"/>
            <w:tcBorders>
              <w:top w:val="single" w:sz="4" w:space="0" w:color="000000" w:themeColor="text1"/>
            </w:tcBorders>
          </w:tcPr>
          <w:p w14:paraId="1FE36527" w14:textId="77777777" w:rsidR="005E7930" w:rsidRPr="00A64245"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20 min</w:t>
            </w:r>
          </w:p>
        </w:tc>
        <w:tc>
          <w:tcPr>
            <w:tcW w:w="2800" w:type="dxa"/>
            <w:tcBorders>
              <w:top w:val="single" w:sz="4" w:space="0" w:color="000000" w:themeColor="text1"/>
            </w:tcBorders>
          </w:tcPr>
          <w:p w14:paraId="71AC5E5C"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Marco conceptual</w:t>
            </w:r>
          </w:p>
        </w:tc>
        <w:tc>
          <w:tcPr>
            <w:tcW w:w="1741" w:type="dxa"/>
            <w:tcBorders>
              <w:top w:val="single" w:sz="4" w:space="0" w:color="000000" w:themeColor="text1"/>
            </w:tcBorders>
          </w:tcPr>
          <w:p w14:paraId="7CACDD6A" w14:textId="5B26EA9D"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 xml:space="preserve">Ponente </w:t>
            </w:r>
          </w:p>
        </w:tc>
        <w:tc>
          <w:tcPr>
            <w:tcW w:w="2688" w:type="dxa"/>
            <w:tcBorders>
              <w:top w:val="single" w:sz="4" w:space="0" w:color="000000" w:themeColor="text1"/>
            </w:tcBorders>
          </w:tcPr>
          <w:p w14:paraId="0EB71E3A" w14:textId="6D9D0863" w:rsidR="005E7930" w:rsidRPr="00A64245" w:rsidRDefault="006525E6">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Prioridades regionales</w:t>
            </w:r>
          </w:p>
        </w:tc>
      </w:tr>
      <w:tr w:rsidR="005E7930" w:rsidRPr="00CD2D87" w14:paraId="6A97541F" w14:textId="77777777" w:rsidTr="0017238A">
        <w:tc>
          <w:tcPr>
            <w:tcW w:w="1833" w:type="dxa"/>
          </w:tcPr>
          <w:p w14:paraId="4035A853"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50 min</w:t>
            </w:r>
          </w:p>
        </w:tc>
        <w:tc>
          <w:tcPr>
            <w:tcW w:w="2800" w:type="dxa"/>
          </w:tcPr>
          <w:p w14:paraId="65874B8C" w14:textId="77777777" w:rsidR="005E7930" w:rsidRDefault="005E7930">
            <w:pPr>
              <w:pBdr>
                <w:top w:val="nil"/>
                <w:left w:val="nil"/>
                <w:bottom w:val="nil"/>
                <w:right w:val="nil"/>
                <w:between w:val="nil"/>
              </w:pBdr>
              <w:spacing w:line="264" w:lineRule="auto"/>
              <w:ind w:left="360"/>
              <w:jc w:val="left"/>
              <w:rPr>
                <w:color w:val="006A66"/>
                <w:sz w:val="28"/>
                <w:szCs w:val="28"/>
              </w:rPr>
            </w:pPr>
            <w:r>
              <w:rPr>
                <w:color w:val="006A66"/>
                <w:sz w:val="28"/>
                <w:szCs w:val="28"/>
              </w:rPr>
              <w:t>Panel de discursion</w:t>
            </w:r>
          </w:p>
        </w:tc>
        <w:tc>
          <w:tcPr>
            <w:tcW w:w="1741" w:type="dxa"/>
          </w:tcPr>
          <w:p w14:paraId="126A1A12"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Panelistas</w:t>
            </w:r>
          </w:p>
        </w:tc>
        <w:tc>
          <w:tcPr>
            <w:tcW w:w="2688" w:type="dxa"/>
          </w:tcPr>
          <w:p w14:paraId="0B76E0B6" w14:textId="77777777" w:rsidR="005E7930" w:rsidRPr="008633E2"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I</w:t>
            </w:r>
            <w:r w:rsidRPr="008633E2">
              <w:rPr>
                <w:color w:val="006A66"/>
                <w:sz w:val="28"/>
                <w:szCs w:val="28"/>
                <w:lang w:val="es-ES"/>
              </w:rPr>
              <w:t>ntercambio de experiencias, políticas y desafíos</w:t>
            </w:r>
          </w:p>
        </w:tc>
      </w:tr>
      <w:tr w:rsidR="005E7930" w:rsidRPr="008633E2" w14:paraId="20737CD1" w14:textId="77777777" w:rsidTr="0017238A">
        <w:tc>
          <w:tcPr>
            <w:tcW w:w="1833" w:type="dxa"/>
          </w:tcPr>
          <w:p w14:paraId="4A831755"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25 min</w:t>
            </w:r>
          </w:p>
        </w:tc>
        <w:tc>
          <w:tcPr>
            <w:tcW w:w="2800" w:type="dxa"/>
          </w:tcPr>
          <w:p w14:paraId="2222EB34" w14:textId="77777777" w:rsidR="005E7930" w:rsidRPr="008633E2" w:rsidRDefault="005E7930">
            <w:pPr>
              <w:pBdr>
                <w:top w:val="nil"/>
                <w:left w:val="nil"/>
                <w:bottom w:val="nil"/>
                <w:right w:val="nil"/>
                <w:between w:val="nil"/>
              </w:pBdr>
              <w:spacing w:line="264" w:lineRule="auto"/>
              <w:ind w:left="360"/>
              <w:jc w:val="left"/>
              <w:rPr>
                <w:color w:val="006A66"/>
                <w:sz w:val="28"/>
                <w:szCs w:val="28"/>
                <w:lang w:val="es-ES"/>
              </w:rPr>
            </w:pPr>
            <w:r w:rsidRPr="008633E2">
              <w:rPr>
                <w:color w:val="006A66"/>
                <w:sz w:val="28"/>
                <w:szCs w:val="28"/>
                <w:lang w:val="es-ES"/>
              </w:rPr>
              <w:t>Preguntas y respuesta de</w:t>
            </w:r>
            <w:r>
              <w:rPr>
                <w:color w:val="006A66"/>
                <w:sz w:val="28"/>
                <w:szCs w:val="28"/>
                <w:lang w:val="es-ES"/>
              </w:rPr>
              <w:t>l público</w:t>
            </w:r>
          </w:p>
        </w:tc>
        <w:tc>
          <w:tcPr>
            <w:tcW w:w="1741" w:type="dxa"/>
          </w:tcPr>
          <w:p w14:paraId="30A5DCC5" w14:textId="77777777" w:rsidR="005E7930"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Moderación</w:t>
            </w:r>
          </w:p>
          <w:p w14:paraId="661331DA" w14:textId="77777777" w:rsidR="005E7930" w:rsidRPr="008633E2"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Panelistas</w:t>
            </w:r>
          </w:p>
        </w:tc>
        <w:tc>
          <w:tcPr>
            <w:tcW w:w="2688" w:type="dxa"/>
          </w:tcPr>
          <w:p w14:paraId="096C728F" w14:textId="77777777" w:rsidR="005E7930"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 xml:space="preserve">Preguntas y comentarios </w:t>
            </w:r>
          </w:p>
        </w:tc>
      </w:tr>
      <w:tr w:rsidR="005E7930" w:rsidRPr="00CD2D87" w14:paraId="0DE91E2A" w14:textId="77777777" w:rsidTr="0017238A">
        <w:tc>
          <w:tcPr>
            <w:tcW w:w="1833" w:type="dxa"/>
          </w:tcPr>
          <w:p w14:paraId="09881F7E"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10 min</w:t>
            </w:r>
          </w:p>
        </w:tc>
        <w:tc>
          <w:tcPr>
            <w:tcW w:w="2800" w:type="dxa"/>
          </w:tcPr>
          <w:p w14:paraId="462CD5C7" w14:textId="38DC7602" w:rsidR="005E7930" w:rsidRPr="008633E2" w:rsidRDefault="2D66A017" w:rsidP="5D086CF5">
            <w:pPr>
              <w:pBdr>
                <w:top w:val="nil"/>
                <w:left w:val="nil"/>
                <w:bottom w:val="nil"/>
                <w:right w:val="nil"/>
                <w:between w:val="nil"/>
              </w:pBdr>
              <w:spacing w:line="264" w:lineRule="auto"/>
              <w:ind w:left="360"/>
              <w:jc w:val="left"/>
              <w:rPr>
                <w:color w:val="006A66"/>
                <w:sz w:val="28"/>
                <w:szCs w:val="28"/>
                <w:lang w:val="es-ES"/>
              </w:rPr>
            </w:pPr>
            <w:r w:rsidRPr="5D086CF5">
              <w:rPr>
                <w:color w:val="006A66"/>
                <w:sz w:val="28"/>
                <w:szCs w:val="28"/>
                <w:lang w:val="es-ES"/>
              </w:rPr>
              <w:t>C</w:t>
            </w:r>
            <w:r w:rsidR="64B37EB2" w:rsidRPr="5D086CF5">
              <w:rPr>
                <w:color w:val="006A66"/>
                <w:sz w:val="28"/>
                <w:szCs w:val="28"/>
                <w:lang w:val="es-ES"/>
              </w:rPr>
              <w:t>ierre</w:t>
            </w:r>
          </w:p>
        </w:tc>
        <w:tc>
          <w:tcPr>
            <w:tcW w:w="1741" w:type="dxa"/>
          </w:tcPr>
          <w:p w14:paraId="41120531" w14:textId="77777777" w:rsidR="005E7930"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Moderación</w:t>
            </w:r>
          </w:p>
        </w:tc>
        <w:tc>
          <w:tcPr>
            <w:tcW w:w="2688" w:type="dxa"/>
          </w:tcPr>
          <w:p w14:paraId="6B5DF0BB" w14:textId="77777777" w:rsidR="005E7930"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Síntesis de mensajes clave y próximos pasos</w:t>
            </w:r>
          </w:p>
        </w:tc>
      </w:tr>
    </w:tbl>
    <w:p w14:paraId="352D0E75" w14:textId="77777777" w:rsidR="002C2024" w:rsidRPr="005E7930" w:rsidRDefault="002C2024">
      <w:pPr>
        <w:rPr>
          <w:lang w:val="es-ES"/>
        </w:rPr>
      </w:pPr>
    </w:p>
    <w:p w14:paraId="352D0E76" w14:textId="77777777" w:rsidR="002C2024" w:rsidRDefault="007D0FAD">
      <w:pPr>
        <w:pStyle w:val="Heading2"/>
        <w:numPr>
          <w:ilvl w:val="0"/>
          <w:numId w:val="1"/>
        </w:numPr>
        <w:ind w:left="567" w:hanging="283"/>
        <w:rPr>
          <w:color w:val="ED7D31"/>
          <w:sz w:val="36"/>
          <w:szCs w:val="36"/>
        </w:rPr>
      </w:pPr>
      <w:r>
        <w:rPr>
          <w:color w:val="ED7D31"/>
          <w:sz w:val="36"/>
          <w:szCs w:val="36"/>
        </w:rPr>
        <w:t>About Organisers at the 6th Global Conference on the Elimination of Child Labour (optional)</w:t>
      </w:r>
    </w:p>
    <w:p w14:paraId="352D0E78" w14:textId="77777777" w:rsidR="002C2024" w:rsidRDefault="002C2024"/>
    <w:p w14:paraId="1EC8CE1E" w14:textId="77777777" w:rsidR="00741E6F" w:rsidRDefault="00741E6F" w:rsidP="00841D3A">
      <w:pPr>
        <w:pStyle w:val="NoSpacing"/>
        <w:rPr>
          <w:lang w:val="es-ES"/>
        </w:rPr>
      </w:pPr>
      <w:r>
        <w:rPr>
          <w:lang w:val="es-ES"/>
        </w:rPr>
        <w:t>L</w:t>
      </w:r>
      <w:r w:rsidRPr="00841D3A">
        <w:rPr>
          <w:lang w:val="es-ES"/>
        </w:rPr>
        <w:t>a Declaración Tripartita de Punta Cana (2025) adoptada en la 20.ª Reunión Regional Americana de la OIT reafirma la prioridad de la abolición del trabajo infantil</w:t>
      </w:r>
      <w:r>
        <w:rPr>
          <w:lang w:val="es-ES"/>
        </w:rPr>
        <w:t xml:space="preserve"> en las Américas</w:t>
      </w:r>
      <w:r w:rsidRPr="00841D3A">
        <w:rPr>
          <w:lang w:val="es-ES"/>
        </w:rPr>
        <w:t xml:space="preserve">, el compromiso sostenido con su prevención y erradicación, y el reconocimiento de la Iniciativa Regional </w:t>
      </w:r>
      <w:r>
        <w:rPr>
          <w:lang w:val="es-ES"/>
        </w:rPr>
        <w:t xml:space="preserve">ALC Libre de Trabajo Infantil </w:t>
      </w:r>
      <w:r w:rsidRPr="00841D3A">
        <w:rPr>
          <w:lang w:val="es-ES"/>
        </w:rPr>
        <w:t>como un referente de cooperación regional.</w:t>
      </w:r>
    </w:p>
    <w:p w14:paraId="35F60839" w14:textId="32EC239F" w:rsidR="00841D3A" w:rsidRPr="00841D3A" w:rsidRDefault="00841D3A" w:rsidP="00841D3A">
      <w:pPr>
        <w:pStyle w:val="NoSpacing"/>
        <w:rPr>
          <w:lang w:val="es-ES"/>
        </w:rPr>
      </w:pPr>
      <w:r>
        <w:rPr>
          <w:lang w:val="es-ES"/>
        </w:rPr>
        <w:t>E</w:t>
      </w:r>
      <w:r w:rsidRPr="00841D3A">
        <w:rPr>
          <w:lang w:val="es-ES"/>
        </w:rPr>
        <w:t xml:space="preserve">ste side event se enmarca en los esfuerzos regionales impulsados por la </w:t>
      </w:r>
      <w:r w:rsidRPr="00841D3A">
        <w:rPr>
          <w:b/>
          <w:bCs/>
          <w:lang w:val="es-ES"/>
        </w:rPr>
        <w:t>Iniciativa Regional América Latina y el Caribe Libre de Trabajo Infantil</w:t>
      </w:r>
      <w:r w:rsidRPr="00841D3A">
        <w:rPr>
          <w:lang w:val="es-ES"/>
        </w:rPr>
        <w:t xml:space="preserve">, </w:t>
      </w:r>
      <w:r w:rsidR="0022717E">
        <w:rPr>
          <w:lang w:val="es-ES"/>
        </w:rPr>
        <w:t xml:space="preserve">la </w:t>
      </w:r>
      <w:r w:rsidRPr="00841D3A">
        <w:rPr>
          <w:lang w:val="es-ES"/>
        </w:rPr>
        <w:t>plataforma tripartita regional cuya secretaría técnica está a cargo de la OIT, que desde hace más de una década promueve la articulación de políticas públicas y respuestas coordinadas para la prevención y erradicación del trabajo infantil en la región.</w:t>
      </w:r>
    </w:p>
    <w:p w14:paraId="352D0E7A" w14:textId="29A75863" w:rsidR="002C2024" w:rsidRPr="00BC5882" w:rsidRDefault="00841D3A" w:rsidP="0017238A">
      <w:pPr>
        <w:pStyle w:val="NoSpacing"/>
        <w:rPr>
          <w:lang w:val="es-ES"/>
        </w:rPr>
      </w:pPr>
      <w:r w:rsidRPr="00841D3A">
        <w:rPr>
          <w:lang w:val="es-ES"/>
        </w:rPr>
        <w:t xml:space="preserve">Estos compromisos fueron reforzados durante las </w:t>
      </w:r>
      <w:r w:rsidRPr="00841D3A">
        <w:rPr>
          <w:b/>
          <w:bCs/>
          <w:lang w:val="es-ES"/>
        </w:rPr>
        <w:t>Consultas Regionales de las Américas (2025)</w:t>
      </w:r>
      <w:r w:rsidRPr="00841D3A">
        <w:rPr>
          <w:lang w:val="es-ES"/>
        </w:rPr>
        <w:t>, en el marco preparatorio de la 6ª Conferencia Mundial, que permitieron identificar prioridades regionales compartidas e integrarlas en el Plan Estratégico de la Iniciativa Regional como marco orientador de la contribución regional a la agenda global y de las respuestas nacionales.</w:t>
      </w:r>
    </w:p>
    <w:p w14:paraId="352D0E7B" w14:textId="77777777" w:rsidR="002C2024" w:rsidRPr="00BC5882" w:rsidRDefault="002C2024">
      <w:pPr>
        <w:tabs>
          <w:tab w:val="left" w:pos="7819"/>
        </w:tabs>
        <w:rPr>
          <w:color w:val="006A66"/>
          <w:sz w:val="28"/>
          <w:szCs w:val="28"/>
          <w:lang w:val="es-ES"/>
        </w:rPr>
      </w:pPr>
    </w:p>
    <w:sectPr w:rsidR="002C2024" w:rsidRPr="00BC5882">
      <w:headerReference w:type="default" r:id="rId11"/>
      <w:foot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0D50D" w14:textId="77777777" w:rsidR="009F0970" w:rsidRDefault="009F0970">
      <w:pPr>
        <w:spacing w:before="0" w:after="0"/>
      </w:pPr>
      <w:r>
        <w:separator/>
      </w:r>
    </w:p>
  </w:endnote>
  <w:endnote w:type="continuationSeparator" w:id="0">
    <w:p w14:paraId="5E7F8204" w14:textId="77777777" w:rsidR="009F0970" w:rsidRDefault="009F097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08FCA57-86FC-4F72-9FB9-4290BA0A1C0B}"/>
    <w:embedBold r:id="rId2" w:fontKey="{CEA9B54A-FC28-4ECE-ADAC-8DD70768CD4D}"/>
    <w:embedItalic r:id="rId3" w:fontKey="{48FC198A-CB7C-488F-A2F0-BDAF16A54F53}"/>
  </w:font>
  <w:font w:name="Cera Pro">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Noto Sans">
    <w:charset w:val="00"/>
    <w:family w:val="swiss"/>
    <w:pitch w:val="variable"/>
    <w:sig w:usb0="E00002FF" w:usb1="4000201F" w:usb2="08000029" w:usb3="00000000" w:csb0="0000019F" w:csb1="00000000"/>
  </w:font>
  <w:font w:name="Overpass">
    <w:charset w:val="00"/>
    <w:family w:val="auto"/>
    <w:pitch w:val="variable"/>
    <w:sig w:usb0="00000007" w:usb1="00000020" w:usb2="00000000" w:usb3="00000000" w:csb0="00000093" w:csb1="00000000"/>
  </w:font>
  <w:font w:name="Georgia">
    <w:panose1 w:val="02040502050405020303"/>
    <w:charset w:val="00"/>
    <w:family w:val="roman"/>
    <w:pitch w:val="variable"/>
    <w:sig w:usb0="00000287" w:usb1="00000000" w:usb2="00000000" w:usb3="00000000" w:csb0="0000009F" w:csb1="00000000"/>
    <w:embedItalic r:id="rId4" w:fontKey="{0A66FECB-B378-4581-87DB-D4B4DD0C1ACC}"/>
  </w:font>
  <w:font w:name="Calibri Light">
    <w:panose1 w:val="020F0302020204030204"/>
    <w:charset w:val="00"/>
    <w:family w:val="swiss"/>
    <w:pitch w:val="variable"/>
    <w:sig w:usb0="E4002EFF" w:usb1="C200247B" w:usb2="00000009" w:usb3="00000000" w:csb0="000001FF" w:csb1="00000000"/>
    <w:embedRegular r:id="rId5" w:fontKey="{446A0CD5-67DF-4D42-9505-434C8549B6CD}"/>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0E7D" w14:textId="054ACD24" w:rsidR="002C2024" w:rsidRDefault="007D0FAD">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smallCaps/>
        <w:color w:val="006A66"/>
      </w:rPr>
      <w:instrText>PAGE</w:instrText>
    </w:r>
    <w:r>
      <w:rPr>
        <w:smallCaps/>
        <w:color w:val="006A66"/>
      </w:rPr>
      <w:fldChar w:fldCharType="separate"/>
    </w:r>
    <w:r>
      <w:rPr>
        <w:smallCaps/>
        <w:noProof/>
        <w:color w:val="006A66"/>
      </w:rPr>
      <w:t>1</w:t>
    </w:r>
    <w:r>
      <w:rPr>
        <w:smallCaps/>
        <w:color w:val="006A66"/>
      </w:rPr>
      <w:fldChar w:fldCharType="end"/>
    </w:r>
    <w:r>
      <w:rPr>
        <w:noProof/>
      </w:rPr>
      <mc:AlternateContent>
        <mc:Choice Requires="wps">
          <w:drawing>
            <wp:anchor distT="0" distB="0" distL="114300" distR="114300" simplePos="0" relativeHeight="251658241" behindDoc="0" locked="0" layoutInCell="1" hidden="0" allowOverlap="1" wp14:anchorId="352D0E81" wp14:editId="352D0E82">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xmlns:arto="http://schemas.microsoft.com/office/word/2006/arto" xmlns:a="http://schemas.openxmlformats.org/drawingml/2006/main">
          <w:pict>
            <v:shapetype id="_x0000_t32" coordsize="21600,21600" o:oned="t" filled="f" o:spt="32" path="m,l21600,21600e" w14:anchorId="1AEF678A">
              <v:path fillok="f" arrowok="t" o:connecttype="none"/>
              <o:lock v:ext="edit" shapetype="t"/>
            </v:shapetype>
            <v:shape id="Straight Arrow Connector 7" style="position:absolute;margin-left:267.55pt;margin-top:13pt;width:0;height:1pt;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6a6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">
              <v:stroke joinstyle="miter" startarrowwidth="narrow" startarrowlength="short" endarrowwidth="narrow" endarrowlength="short"/>
            </v:shape>
          </w:pict>
        </mc:Fallback>
      </mc:AlternateContent>
    </w:r>
  </w:p>
  <w:p w14:paraId="352D0E7E" w14:textId="77777777" w:rsidR="002C2024" w:rsidRDefault="002C2024">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27140" w14:textId="77777777" w:rsidR="009F0970" w:rsidRDefault="009F0970">
      <w:pPr>
        <w:spacing w:before="0" w:after="0"/>
      </w:pPr>
      <w:r>
        <w:separator/>
      </w:r>
    </w:p>
  </w:footnote>
  <w:footnote w:type="continuationSeparator" w:id="0">
    <w:p w14:paraId="1AF98465" w14:textId="77777777" w:rsidR="009F0970" w:rsidRDefault="009F097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0E7C" w14:textId="77777777" w:rsidR="002C2024" w:rsidRDefault="007D0FAD">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352D0E7F" wp14:editId="352D0E80">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F1B98"/>
    <w:multiLevelType w:val="hybridMultilevel"/>
    <w:tmpl w:val="BED2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95934"/>
    <w:multiLevelType w:val="multilevel"/>
    <w:tmpl w:val="5B7883A6"/>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055907"/>
    <w:multiLevelType w:val="multilevel"/>
    <w:tmpl w:val="7D361A74"/>
    <w:lvl w:ilvl="0">
      <w:start w:val="1"/>
      <w:numFmt w:val="bullet"/>
      <w:lvlText w:val=""/>
      <w:lvlJc w:val="left"/>
      <w:pPr>
        <w:ind w:left="720" w:hanging="18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414A70"/>
    <w:multiLevelType w:val="hybridMultilevel"/>
    <w:tmpl w:val="BD2E203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3C1F3E7E"/>
    <w:multiLevelType w:val="hybridMultilevel"/>
    <w:tmpl w:val="6E7C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355B5D"/>
    <w:multiLevelType w:val="hybridMultilevel"/>
    <w:tmpl w:val="84D8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782345"/>
    <w:multiLevelType w:val="hybridMultilevel"/>
    <w:tmpl w:val="924A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A67118"/>
    <w:multiLevelType w:val="multilevel"/>
    <w:tmpl w:val="F50A3C1A"/>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9DD5895"/>
    <w:multiLevelType w:val="multilevel"/>
    <w:tmpl w:val="29BA4ABE"/>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0033093">
    <w:abstractNumId w:val="1"/>
  </w:num>
  <w:num w:numId="2" w16cid:durableId="98914742">
    <w:abstractNumId w:val="8"/>
  </w:num>
  <w:num w:numId="3" w16cid:durableId="437256997">
    <w:abstractNumId w:val="7"/>
  </w:num>
  <w:num w:numId="4" w16cid:durableId="1680693010">
    <w:abstractNumId w:val="0"/>
  </w:num>
  <w:num w:numId="5" w16cid:durableId="463890888">
    <w:abstractNumId w:val="6"/>
  </w:num>
  <w:num w:numId="6" w16cid:durableId="2031904889">
    <w:abstractNumId w:val="5"/>
  </w:num>
  <w:num w:numId="7" w16cid:durableId="1168984276">
    <w:abstractNumId w:val="4"/>
  </w:num>
  <w:num w:numId="8" w16cid:durableId="526260973">
    <w:abstractNumId w:val="2"/>
  </w:num>
  <w:num w:numId="9" w16cid:durableId="21469686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024"/>
    <w:rsid w:val="00031C6C"/>
    <w:rsid w:val="00040AB4"/>
    <w:rsid w:val="00085BA1"/>
    <w:rsid w:val="000B7697"/>
    <w:rsid w:val="000C3304"/>
    <w:rsid w:val="00161466"/>
    <w:rsid w:val="0017238A"/>
    <w:rsid w:val="001A2F47"/>
    <w:rsid w:val="001A7DA5"/>
    <w:rsid w:val="001D09C0"/>
    <w:rsid w:val="0022717E"/>
    <w:rsid w:val="00235A6B"/>
    <w:rsid w:val="00266B52"/>
    <w:rsid w:val="00281994"/>
    <w:rsid w:val="00296D2E"/>
    <w:rsid w:val="002C2024"/>
    <w:rsid w:val="002D75A6"/>
    <w:rsid w:val="002E1EA1"/>
    <w:rsid w:val="0033139E"/>
    <w:rsid w:val="00344176"/>
    <w:rsid w:val="003D6F15"/>
    <w:rsid w:val="004605E5"/>
    <w:rsid w:val="00466BF6"/>
    <w:rsid w:val="004840A3"/>
    <w:rsid w:val="004A1843"/>
    <w:rsid w:val="004B1735"/>
    <w:rsid w:val="004B2555"/>
    <w:rsid w:val="004B2665"/>
    <w:rsid w:val="004E521D"/>
    <w:rsid w:val="00583869"/>
    <w:rsid w:val="005E7930"/>
    <w:rsid w:val="0062299D"/>
    <w:rsid w:val="006525E6"/>
    <w:rsid w:val="006530D4"/>
    <w:rsid w:val="006C36A2"/>
    <w:rsid w:val="006C431B"/>
    <w:rsid w:val="00741E6F"/>
    <w:rsid w:val="00753C6F"/>
    <w:rsid w:val="00767DD6"/>
    <w:rsid w:val="007D0FAD"/>
    <w:rsid w:val="007D428E"/>
    <w:rsid w:val="007F7AEA"/>
    <w:rsid w:val="008150B6"/>
    <w:rsid w:val="008328E7"/>
    <w:rsid w:val="00841D3A"/>
    <w:rsid w:val="008670D2"/>
    <w:rsid w:val="008757CA"/>
    <w:rsid w:val="008C3160"/>
    <w:rsid w:val="008C563D"/>
    <w:rsid w:val="008E6BBA"/>
    <w:rsid w:val="00905DE2"/>
    <w:rsid w:val="009337DC"/>
    <w:rsid w:val="009369FF"/>
    <w:rsid w:val="00940CCD"/>
    <w:rsid w:val="009546DE"/>
    <w:rsid w:val="00991EFA"/>
    <w:rsid w:val="009C59DB"/>
    <w:rsid w:val="009D07BE"/>
    <w:rsid w:val="009E1300"/>
    <w:rsid w:val="009F0970"/>
    <w:rsid w:val="00A405BD"/>
    <w:rsid w:val="00A428BD"/>
    <w:rsid w:val="00A45F8E"/>
    <w:rsid w:val="00A8700D"/>
    <w:rsid w:val="00A96127"/>
    <w:rsid w:val="00AB0B5E"/>
    <w:rsid w:val="00AB1F58"/>
    <w:rsid w:val="00B30E9D"/>
    <w:rsid w:val="00B32DD7"/>
    <w:rsid w:val="00B726FB"/>
    <w:rsid w:val="00B85592"/>
    <w:rsid w:val="00BC5882"/>
    <w:rsid w:val="00BE115D"/>
    <w:rsid w:val="00C53520"/>
    <w:rsid w:val="00C54715"/>
    <w:rsid w:val="00C72F73"/>
    <w:rsid w:val="00C771CA"/>
    <w:rsid w:val="00CC4B05"/>
    <w:rsid w:val="00CD2D87"/>
    <w:rsid w:val="00CD36E7"/>
    <w:rsid w:val="00D3518A"/>
    <w:rsid w:val="00D60D72"/>
    <w:rsid w:val="00D61BEC"/>
    <w:rsid w:val="00D80E82"/>
    <w:rsid w:val="00DA399E"/>
    <w:rsid w:val="00DC7C5D"/>
    <w:rsid w:val="00DE1E0F"/>
    <w:rsid w:val="00DE6AF9"/>
    <w:rsid w:val="00E06E57"/>
    <w:rsid w:val="00E078F6"/>
    <w:rsid w:val="00E4036A"/>
    <w:rsid w:val="00E525BB"/>
    <w:rsid w:val="00E55900"/>
    <w:rsid w:val="00E927BB"/>
    <w:rsid w:val="00EA7954"/>
    <w:rsid w:val="00EB14CD"/>
    <w:rsid w:val="00EC2E7C"/>
    <w:rsid w:val="00EC40AE"/>
    <w:rsid w:val="00EF6174"/>
    <w:rsid w:val="00F07226"/>
    <w:rsid w:val="00F42484"/>
    <w:rsid w:val="00F6249C"/>
    <w:rsid w:val="00F71649"/>
    <w:rsid w:val="00F83100"/>
    <w:rsid w:val="00FD7203"/>
    <w:rsid w:val="00FF3350"/>
    <w:rsid w:val="02C08B5C"/>
    <w:rsid w:val="04B3263A"/>
    <w:rsid w:val="089775CF"/>
    <w:rsid w:val="0E556CEF"/>
    <w:rsid w:val="1738EC14"/>
    <w:rsid w:val="17907FB4"/>
    <w:rsid w:val="18F72CA7"/>
    <w:rsid w:val="2D66A017"/>
    <w:rsid w:val="5275E697"/>
    <w:rsid w:val="5D086CF5"/>
    <w:rsid w:val="64B37EB2"/>
    <w:rsid w:val="681FD11E"/>
    <w:rsid w:val="750E56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D0E45"/>
  <w15:docId w15:val="{C14ACE93-4C2C-4784-BCD6-FE2E70F1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styleId="ListParagraph">
    <w:name w:val="List Paragraph"/>
    <w:basedOn w:val="Normal"/>
    <w:uiPriority w:val="34"/>
    <w:qFormat/>
    <w:rsid w:val="00CC4B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A8B7205F249D4E9B992FEA4869DDCF" ma:contentTypeVersion="40" ma:contentTypeDescription="Create a new document." ma:contentTypeScope="" ma:versionID="1b0c28dfa941c9c7bea8ed854ac54ad9">
  <xsd:schema xmlns:xsd="http://www.w3.org/2001/XMLSchema" xmlns:xs="http://www.w3.org/2001/XMLSchema" xmlns:p="http://schemas.microsoft.com/office/2006/metadata/properties" xmlns:ns2="ca717dfb-b23d-4791-9627-5bcaf166df5d" xmlns:ns3="cf9144f3-d197-4f2f-8075-bb23bc46f8ac" targetNamespace="http://schemas.microsoft.com/office/2006/metadata/properties" ma:root="true" ma:fieldsID="9c7f472dcf2e892e823297da953698bd" ns2:_="" ns3:_="">
    <xsd:import namespace="ca717dfb-b23d-4791-9627-5bcaf166df5d"/>
    <xsd:import namespace="cf9144f3-d197-4f2f-8075-bb23bc46f8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17dfb-b23d-4791-9627-5bcaf166d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32b82f-ee1f-4246-9d44-c1f8cdfbe54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144f3-d197-4f2f-8075-bb23bc46f8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1bee15-a9fd-47a7-8233-3d936fa4dece}" ma:internalName="TaxCatchAll" ma:showField="CatchAllData" ma:web="cf9144f3-d197-4f2f-8075-bb23bc46f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rchiverLinkFileType xmlns="ca717dfb-b23d-4791-9627-5bcaf166df5d" xsi:nil="true"/>
    <lcf76f155ced4ddcb4097134ff3c332f xmlns="ca717dfb-b23d-4791-9627-5bcaf166df5d">
      <Terms xmlns="http://schemas.microsoft.com/office/infopath/2007/PartnerControls"/>
    </lcf76f155ced4ddcb4097134ff3c332f>
    <TaxCatchAll xmlns="cf9144f3-d197-4f2f-8075-bb23bc46f8ac" xsi:nil="true"/>
  </documentManagement>
</p:properties>
</file>

<file path=customXml/itemProps1.xml><?xml version="1.0" encoding="utf-8"?>
<ds:datastoreItem xmlns:ds="http://schemas.openxmlformats.org/officeDocument/2006/customXml" ds:itemID="{74F44F03-ECAC-45B1-8560-77F84F204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17dfb-b23d-4791-9627-5bcaf166df5d"/>
    <ds:schemaRef ds:uri="cf9144f3-d197-4f2f-8075-bb23bc46f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DADD591-3BC6-45C9-9438-BE0D765C3A42}">
  <ds:schemaRefs>
    <ds:schemaRef ds:uri="http://schemas.microsoft.com/sharepoint/v3/contenttype/forms"/>
  </ds:schemaRefs>
</ds:datastoreItem>
</file>

<file path=customXml/itemProps4.xml><?xml version="1.0" encoding="utf-8"?>
<ds:datastoreItem xmlns:ds="http://schemas.openxmlformats.org/officeDocument/2006/customXml" ds:itemID="{48B2B9D5-A7E4-4D60-8A55-B357CB8A3EAD}">
  <ds:schemaRefs>
    <ds:schemaRef ds:uri="http://schemas.microsoft.com/office/2006/metadata/properties"/>
    <ds:schemaRef ds:uri="http://schemas.microsoft.com/office/infopath/2007/PartnerControls"/>
    <ds:schemaRef ds:uri="ca717dfb-b23d-4791-9627-5bcaf166df5d"/>
    <ds:schemaRef ds:uri="cf9144f3-d197-4f2f-8075-bb23bc46f8a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1110</Words>
  <Characters>6327</Characters>
  <Application>Microsoft Office Word</Application>
  <DocSecurity>4</DocSecurity>
  <Lines>52</Lines>
  <Paragraphs>14</Paragraphs>
  <ScaleCrop>false</ScaleCrop>
  <Company>ILO</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Rodriguez, Pilar</cp:lastModifiedBy>
  <cp:revision>27</cp:revision>
  <dcterms:created xsi:type="dcterms:W3CDTF">2026-01-27T20:14:00Z</dcterms:created>
  <dcterms:modified xsi:type="dcterms:W3CDTF">2026-01-30T21:05:00Z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0x010100A5A8B7205F249D4E9B992FEA4869DDCF</vt:lpwstr>
  </property>
  <property fmtid="{D5CDD505-2E9C-101B-9397-08002B2CF9AE}" pid="3" name="MediaServiceImageTags">
    <vt:lpwstr/>
  </property>
</Properties>
</file>