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D0E45" w14:textId="77777777" w:rsidR="002C2024" w:rsidRDefault="007D0FAD">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2531E885" w14:textId="77777777" w:rsidR="002E6403" w:rsidRDefault="002E6403">
      <w:pPr>
        <w:pStyle w:val="Heading1"/>
        <w:spacing w:before="0" w:after="0"/>
        <w:jc w:val="center"/>
        <w:rPr>
          <w:color w:val="ED7D31" w:themeColor="accent2"/>
          <w:sz w:val="40"/>
          <w:szCs w:val="40"/>
        </w:rPr>
      </w:pPr>
    </w:p>
    <w:p w14:paraId="352D0E46" w14:textId="3C47E632" w:rsidR="002C2024" w:rsidRPr="002E6403" w:rsidRDefault="002E6403">
      <w:pPr>
        <w:pStyle w:val="Heading1"/>
        <w:spacing w:before="0" w:after="0"/>
        <w:jc w:val="center"/>
        <w:rPr>
          <w:color w:val="ED7D31"/>
          <w:sz w:val="28"/>
          <w:szCs w:val="28"/>
          <w:lang w:val="en-GB"/>
        </w:rPr>
      </w:pPr>
      <w:r w:rsidRPr="002E6403">
        <w:rPr>
          <w:color w:val="ED7D31" w:themeColor="accent2"/>
          <w:sz w:val="40"/>
          <w:szCs w:val="40"/>
        </w:rPr>
        <w:t xml:space="preserve">The Americas – Key </w:t>
      </w:r>
      <w:r>
        <w:rPr>
          <w:color w:val="ED7D31" w:themeColor="accent2"/>
          <w:sz w:val="40"/>
          <w:szCs w:val="40"/>
        </w:rPr>
        <w:t xml:space="preserve">alliances </w:t>
      </w:r>
      <w:r w:rsidRPr="002E6403">
        <w:rPr>
          <w:color w:val="ED7D31" w:themeColor="accent2"/>
          <w:sz w:val="40"/>
          <w:szCs w:val="40"/>
        </w:rPr>
        <w:t>for the elimination of child labour: prevention as a pathway to eradication</w:t>
      </w:r>
      <w:r w:rsidRPr="002E6403">
        <w:rPr>
          <w:color w:val="ED7D31" w:themeColor="accent2"/>
          <w:sz w:val="40"/>
          <w:szCs w:val="40"/>
        </w:rPr>
        <w:br/>
      </w:r>
      <w:r w:rsidRPr="002E6403">
        <w:rPr>
          <w:i/>
          <w:iCs/>
          <w:color w:val="ED7D31"/>
          <w:sz w:val="28"/>
          <w:szCs w:val="28"/>
        </w:rPr>
        <w:t>Regional vision, national commitment and local impact</w:t>
      </w:r>
      <w:r>
        <w:rPr>
          <w:i/>
          <w:iCs/>
          <w:color w:val="ED7D31"/>
          <w:sz w:val="28"/>
          <w:szCs w:val="28"/>
        </w:rPr>
        <w:t xml:space="preserve"> </w:t>
      </w:r>
    </w:p>
    <w:p w14:paraId="352D0E47" w14:textId="77777777" w:rsidR="002C2024" w:rsidRDefault="007D0FAD">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352D0E48" w14:textId="6952FA28" w:rsidR="002C2024" w:rsidRDefault="001D09C0">
      <w:pPr>
        <w:pStyle w:val="Heading1"/>
        <w:spacing w:after="0"/>
        <w:jc w:val="center"/>
        <w:rPr>
          <w:rFonts w:ascii="Calibri" w:eastAsia="Calibri" w:hAnsi="Calibri" w:cs="Calibri"/>
          <w:sz w:val="28"/>
          <w:szCs w:val="28"/>
        </w:rPr>
      </w:pPr>
      <w:r>
        <w:rPr>
          <w:rFonts w:ascii="Calibri" w:eastAsia="Calibri" w:hAnsi="Calibri" w:cs="Calibri"/>
          <w:sz w:val="28"/>
          <w:szCs w:val="28"/>
        </w:rPr>
        <w:t xml:space="preserve">10 </w:t>
      </w:r>
      <w:r w:rsidR="002E6403">
        <w:rPr>
          <w:rFonts w:ascii="Calibri" w:eastAsia="Calibri" w:hAnsi="Calibri" w:cs="Calibri"/>
          <w:sz w:val="28"/>
          <w:szCs w:val="28"/>
        </w:rPr>
        <w:t>February</w:t>
      </w:r>
      <w:r w:rsidR="007D0FAD">
        <w:rPr>
          <w:rFonts w:ascii="Calibri" w:eastAsia="Calibri" w:hAnsi="Calibri" w:cs="Calibri"/>
          <w:sz w:val="28"/>
          <w:szCs w:val="28"/>
        </w:rPr>
        <w:t xml:space="preserve"> | </w:t>
      </w:r>
      <w:r>
        <w:rPr>
          <w:rFonts w:ascii="Calibri" w:eastAsia="Calibri" w:hAnsi="Calibri" w:cs="Calibri"/>
          <w:sz w:val="28"/>
          <w:szCs w:val="28"/>
        </w:rPr>
        <w:t>16.30</w:t>
      </w:r>
      <w:r w:rsidR="00905DE2">
        <w:rPr>
          <w:rFonts w:ascii="Calibri" w:eastAsia="Calibri" w:hAnsi="Calibri" w:cs="Calibri"/>
          <w:sz w:val="28"/>
          <w:szCs w:val="28"/>
        </w:rPr>
        <w:t xml:space="preserve"> – 18.15</w:t>
      </w:r>
      <w:r w:rsidR="007D0FAD">
        <w:rPr>
          <w:rFonts w:ascii="Calibri" w:eastAsia="Calibri" w:hAnsi="Calibri" w:cs="Calibri"/>
          <w:sz w:val="28"/>
          <w:szCs w:val="28"/>
        </w:rPr>
        <w:t xml:space="preserve"> | Online</w:t>
      </w:r>
    </w:p>
    <w:p w14:paraId="352D0E4B" w14:textId="77777777" w:rsidR="002C2024" w:rsidRDefault="007D0FAD">
      <w:pPr>
        <w:pStyle w:val="Heading2"/>
        <w:numPr>
          <w:ilvl w:val="0"/>
          <w:numId w:val="1"/>
        </w:numPr>
        <w:ind w:left="567" w:hanging="425"/>
        <w:rPr>
          <w:color w:val="ED7D31"/>
          <w:sz w:val="36"/>
          <w:szCs w:val="36"/>
        </w:rPr>
      </w:pPr>
      <w:r>
        <w:rPr>
          <w:color w:val="ED7D31"/>
          <w:sz w:val="36"/>
          <w:szCs w:val="36"/>
        </w:rPr>
        <w:t>Keywords</w:t>
      </w:r>
    </w:p>
    <w:p w14:paraId="352D0E4C" w14:textId="571F42FA" w:rsidR="002C2024" w:rsidRPr="00A96127" w:rsidRDefault="002E6403">
      <w:pPr>
        <w:rPr>
          <w:color w:val="006A66"/>
          <w:sz w:val="28"/>
          <w:szCs w:val="28"/>
          <w:lang w:val="es-ES"/>
        </w:rPr>
      </w:pPr>
      <w:r w:rsidRPr="002E6403">
        <w:rPr>
          <w:color w:val="006A66"/>
          <w:sz w:val="28"/>
          <w:szCs w:val="28"/>
        </w:rPr>
        <w:t>Child labour prevention; Inter-institutional cooperation; Social dialogue;</w:t>
      </w:r>
      <w:r>
        <w:rPr>
          <w:color w:val="006A66"/>
          <w:sz w:val="28"/>
          <w:szCs w:val="28"/>
        </w:rPr>
        <w:t xml:space="preserve"> Innovative </w:t>
      </w:r>
      <w:proofErr w:type="gramStart"/>
      <w:r>
        <w:rPr>
          <w:color w:val="006A66"/>
          <w:sz w:val="28"/>
          <w:szCs w:val="28"/>
        </w:rPr>
        <w:t>alliances</w:t>
      </w:r>
      <w:r w:rsidR="00A96127">
        <w:rPr>
          <w:color w:val="006A66"/>
          <w:sz w:val="28"/>
          <w:szCs w:val="28"/>
          <w:lang w:val="es-ES"/>
        </w:rPr>
        <w:t>;</w:t>
      </w:r>
      <w:proofErr w:type="gramEnd"/>
      <w:r w:rsidR="00E927BB">
        <w:rPr>
          <w:color w:val="006A66"/>
          <w:sz w:val="28"/>
          <w:szCs w:val="28"/>
          <w:lang w:val="es-ES"/>
        </w:rPr>
        <w:t xml:space="preserve"> </w:t>
      </w:r>
    </w:p>
    <w:p w14:paraId="352D0E4E" w14:textId="088D3CE5" w:rsidR="002C2024" w:rsidRDefault="007D0FAD">
      <w:pPr>
        <w:pStyle w:val="Heading2"/>
        <w:numPr>
          <w:ilvl w:val="0"/>
          <w:numId w:val="1"/>
        </w:numPr>
        <w:ind w:left="567" w:hanging="425"/>
        <w:rPr>
          <w:color w:val="ED7D31"/>
          <w:sz w:val="36"/>
          <w:szCs w:val="36"/>
        </w:rPr>
      </w:pPr>
      <w:r>
        <w:rPr>
          <w:color w:val="ED7D31"/>
          <w:sz w:val="36"/>
          <w:szCs w:val="36"/>
        </w:rPr>
        <w:t>Background &amp; Rationale</w:t>
      </w:r>
    </w:p>
    <w:p w14:paraId="6AA31F83" w14:textId="77777777" w:rsidR="002E6403" w:rsidRPr="002E6403" w:rsidRDefault="002E6403" w:rsidP="002E6403">
      <w:pPr>
        <w:pStyle w:val="NoSpacing"/>
        <w:rPr>
          <w:lang w:val="en-GB"/>
        </w:rPr>
      </w:pPr>
      <w:r w:rsidRPr="002E6403">
        <w:rPr>
          <w:lang w:val="en-GB"/>
        </w:rPr>
        <w:t>Child labour remains a central global challenge. The most recent estimates indicate that 137.6 million children and adolescents are in child labour worldwide, of whom 54 million are engaged in hazardous work, clearly demonstrating that the current pace of progress remains insufficient to achieve eradication.</w:t>
      </w:r>
    </w:p>
    <w:p w14:paraId="13AED647" w14:textId="77777777" w:rsidR="002E6403" w:rsidRPr="002E6403" w:rsidRDefault="002E6403" w:rsidP="002E6403">
      <w:pPr>
        <w:pStyle w:val="NoSpacing"/>
        <w:rPr>
          <w:lang w:val="en-GB"/>
        </w:rPr>
      </w:pPr>
      <w:r w:rsidRPr="002E6403">
        <w:rPr>
          <w:lang w:val="en-GB"/>
        </w:rPr>
        <w:t xml:space="preserve">In this context, Latin America and the Caribbean (LAC) </w:t>
      </w:r>
      <w:proofErr w:type="gramStart"/>
      <w:r w:rsidRPr="002E6403">
        <w:rPr>
          <w:lang w:val="en-GB"/>
        </w:rPr>
        <w:t>shows</w:t>
      </w:r>
      <w:proofErr w:type="gramEnd"/>
      <w:r w:rsidRPr="002E6403">
        <w:rPr>
          <w:lang w:val="en-GB"/>
        </w:rPr>
        <w:t xml:space="preserve"> a distinctive trajectory. Since comparable measurements became available, the region has reduced child labour by more than 50 per cent, reaching an estimated 7.1 million children and adolescents currently in child labour. While these advances are significant, child labour persists and progress remains uneven across countries and territories, with gaps associated with rurality, informality and structural inequalities.</w:t>
      </w:r>
    </w:p>
    <w:p w14:paraId="1F3801C7" w14:textId="77777777" w:rsidR="002E6403" w:rsidRPr="002E6403" w:rsidRDefault="002E6403" w:rsidP="002E6403">
      <w:pPr>
        <w:pStyle w:val="NoSpacing"/>
        <w:rPr>
          <w:lang w:val="en-GB"/>
        </w:rPr>
      </w:pPr>
      <w:r w:rsidRPr="002E6403">
        <w:rPr>
          <w:lang w:val="en-GB"/>
        </w:rPr>
        <w:t>Regional experience underscores the importance of shared frameworks, effective coordination among actors and coherence across levels of intervention. In the current context, the main challenge lies in aligning global commitments, regional priorities and national responses, avoiding fragmentation of efforts and strengthening sustainable preventive approaches.</w:t>
      </w:r>
    </w:p>
    <w:p w14:paraId="42A90144" w14:textId="77777777" w:rsidR="002E6403" w:rsidRPr="002E6403" w:rsidRDefault="002E6403" w:rsidP="002E6403">
      <w:pPr>
        <w:pStyle w:val="NoSpacing"/>
        <w:rPr>
          <w:lang w:val="en-GB"/>
        </w:rPr>
      </w:pPr>
    </w:p>
    <w:p w14:paraId="68A25C9A" w14:textId="77777777" w:rsidR="002E6403" w:rsidRPr="002E6403" w:rsidRDefault="002E6403" w:rsidP="002E6403">
      <w:pPr>
        <w:pStyle w:val="NoSpacing"/>
        <w:rPr>
          <w:lang w:val="en-GB"/>
        </w:rPr>
      </w:pPr>
      <w:r w:rsidRPr="002E6403">
        <w:rPr>
          <w:lang w:val="en-GB"/>
        </w:rPr>
        <w:t xml:space="preserve">Against this backdrop, the event seeks to foster renewed inter-institutional, political and social commitment, bringing together key actors from the world of </w:t>
      </w:r>
      <w:r w:rsidRPr="002E6403">
        <w:rPr>
          <w:lang w:val="en-GB"/>
        </w:rPr>
        <w:lastRenderedPageBreak/>
        <w:t xml:space="preserve">work and development </w:t>
      </w:r>
      <w:proofErr w:type="gramStart"/>
      <w:r w:rsidRPr="002E6403">
        <w:rPr>
          <w:lang w:val="en-GB"/>
        </w:rPr>
        <w:t>in order to</w:t>
      </w:r>
      <w:proofErr w:type="gramEnd"/>
      <w:r w:rsidRPr="002E6403">
        <w:rPr>
          <w:lang w:val="en-GB"/>
        </w:rPr>
        <w:t xml:space="preserve"> strengthen coherent, integrated and sustainable responses to the elimination of child labour.</w:t>
      </w:r>
    </w:p>
    <w:p w14:paraId="67E35956" w14:textId="77777777" w:rsidR="002E6403" w:rsidRPr="002E6403" w:rsidRDefault="002E6403" w:rsidP="002E6403">
      <w:pPr>
        <w:pStyle w:val="NoSpacing"/>
        <w:rPr>
          <w:b/>
          <w:bCs/>
          <w:color w:val="ED7D31"/>
          <w:sz w:val="36"/>
          <w:szCs w:val="36"/>
        </w:rPr>
      </w:pPr>
      <w:r w:rsidRPr="002E6403">
        <w:rPr>
          <w:lang w:val="en-GB"/>
        </w:rPr>
        <w:t>In doing so, the event highlights the importance of advancing in an aligned manner, showcasing the regional priorities emerging from the Consultation of the Americas, as reflected in the Strategic Plan of the Latin America and the Caribbean Regional Initiative Free of Child Labour, and underscoring its dual role: contributing to the global agenda while guiding national efforts in the prevention and elimination of child labour.</w:t>
      </w:r>
    </w:p>
    <w:p w14:paraId="352D0E50" w14:textId="3CA02CCC" w:rsidR="002C2024" w:rsidRDefault="007D0FAD" w:rsidP="002E6403">
      <w:pPr>
        <w:pStyle w:val="Heading2"/>
        <w:numPr>
          <w:ilvl w:val="0"/>
          <w:numId w:val="1"/>
        </w:numPr>
        <w:rPr>
          <w:color w:val="ED7D31"/>
          <w:sz w:val="36"/>
          <w:szCs w:val="36"/>
        </w:rPr>
      </w:pPr>
      <w:r>
        <w:rPr>
          <w:color w:val="ED7D31"/>
          <w:sz w:val="36"/>
          <w:szCs w:val="36"/>
        </w:rPr>
        <w:t>Key Objectives</w:t>
      </w:r>
    </w:p>
    <w:p w14:paraId="59F00220" w14:textId="54B541B1" w:rsidR="00D36389" w:rsidRPr="00D36389" w:rsidRDefault="00D36389" w:rsidP="00D36389">
      <w:pPr>
        <w:pStyle w:val="ListParagraph"/>
        <w:numPr>
          <w:ilvl w:val="0"/>
          <w:numId w:val="4"/>
        </w:numPr>
        <w:rPr>
          <w:color w:val="006A66"/>
          <w:sz w:val="28"/>
          <w:szCs w:val="28"/>
          <w:lang w:val="en-GB"/>
        </w:rPr>
      </w:pPr>
      <w:r w:rsidRPr="00D36389">
        <w:rPr>
          <w:color w:val="006A66"/>
          <w:sz w:val="28"/>
          <w:szCs w:val="28"/>
          <w:lang w:val="en-GB"/>
        </w:rPr>
        <w:t>Fostering renewed inter-institutional, political and social commitment, bringing together key actors from the world of work and development, with a view to strengthening coherent, integrated and sustainable responses to the elimination of child labour.</w:t>
      </w:r>
    </w:p>
    <w:p w14:paraId="678E7CE9" w14:textId="63D80D22" w:rsidR="00D36389" w:rsidRPr="00D36389" w:rsidRDefault="00D36389" w:rsidP="00D36389">
      <w:pPr>
        <w:pStyle w:val="ListParagraph"/>
        <w:numPr>
          <w:ilvl w:val="0"/>
          <w:numId w:val="4"/>
        </w:numPr>
        <w:rPr>
          <w:color w:val="006A66"/>
          <w:sz w:val="28"/>
          <w:szCs w:val="28"/>
          <w:lang w:val="en-GB"/>
        </w:rPr>
      </w:pPr>
      <w:r w:rsidRPr="00D36389">
        <w:rPr>
          <w:color w:val="006A66"/>
          <w:sz w:val="28"/>
          <w:szCs w:val="28"/>
          <w:lang w:val="en-GB"/>
        </w:rPr>
        <w:t>Presenting the regional priorities identified through the Consultation of the Americas and integrated into the Strategic Plan of the Regional Initiative.</w:t>
      </w:r>
    </w:p>
    <w:p w14:paraId="605AD713" w14:textId="12104D60" w:rsidR="00D36389" w:rsidRPr="00D36389" w:rsidRDefault="00D36389" w:rsidP="00D36389">
      <w:pPr>
        <w:pStyle w:val="ListParagraph"/>
        <w:numPr>
          <w:ilvl w:val="0"/>
          <w:numId w:val="4"/>
        </w:numPr>
        <w:rPr>
          <w:color w:val="006A66"/>
          <w:sz w:val="28"/>
          <w:szCs w:val="28"/>
          <w:lang w:val="en-GB"/>
        </w:rPr>
      </w:pPr>
      <w:r w:rsidRPr="00D36389">
        <w:rPr>
          <w:color w:val="006A66"/>
          <w:sz w:val="28"/>
          <w:szCs w:val="28"/>
          <w:lang w:val="en-GB"/>
        </w:rPr>
        <w:t>Reinforcing alignment between the global agenda, regional frameworks and national responses to child labour.</w:t>
      </w:r>
    </w:p>
    <w:p w14:paraId="17F9EB57" w14:textId="11C3B08A" w:rsidR="00D36389" w:rsidRPr="00D36389" w:rsidRDefault="00D36389" w:rsidP="00D36389">
      <w:pPr>
        <w:pStyle w:val="ListParagraph"/>
        <w:numPr>
          <w:ilvl w:val="0"/>
          <w:numId w:val="4"/>
        </w:numPr>
        <w:rPr>
          <w:color w:val="006A66"/>
          <w:sz w:val="28"/>
          <w:szCs w:val="28"/>
          <w:lang w:val="en-GB"/>
        </w:rPr>
      </w:pPr>
      <w:r w:rsidRPr="00D36389">
        <w:rPr>
          <w:color w:val="006A66"/>
          <w:sz w:val="28"/>
          <w:szCs w:val="28"/>
          <w:lang w:val="en-GB"/>
        </w:rPr>
        <w:t>Consolidating a shared understanding of child labour and its root causes, while encouraging consideration of innovative approaches that contribute to strengthening responses at both regional and national levels.</w:t>
      </w:r>
    </w:p>
    <w:p w14:paraId="69C6309C" w14:textId="5C688B3A" w:rsidR="00D36389" w:rsidRPr="00D36389" w:rsidRDefault="00D36389" w:rsidP="00D36389">
      <w:pPr>
        <w:pStyle w:val="ListParagraph"/>
        <w:numPr>
          <w:ilvl w:val="0"/>
          <w:numId w:val="4"/>
        </w:numPr>
        <w:rPr>
          <w:color w:val="006A66"/>
          <w:sz w:val="28"/>
          <w:szCs w:val="28"/>
          <w:lang w:val="en-GB"/>
        </w:rPr>
      </w:pPr>
      <w:r w:rsidRPr="00D36389">
        <w:rPr>
          <w:color w:val="006A66"/>
          <w:sz w:val="28"/>
          <w:szCs w:val="28"/>
          <w:lang w:val="en-GB"/>
        </w:rPr>
        <w:t>Promoting reflection and exchange on innovative approaches and responses that can enrich existing policies and actions.</w:t>
      </w:r>
    </w:p>
    <w:p w14:paraId="7343BFDD" w14:textId="27C28727" w:rsidR="00D36389" w:rsidRPr="00D36389" w:rsidRDefault="00D36389" w:rsidP="00D36389">
      <w:pPr>
        <w:pStyle w:val="ListParagraph"/>
        <w:numPr>
          <w:ilvl w:val="0"/>
          <w:numId w:val="4"/>
        </w:numPr>
        <w:rPr>
          <w:color w:val="006A66"/>
          <w:sz w:val="28"/>
          <w:szCs w:val="28"/>
          <w:lang w:val="en-GB"/>
        </w:rPr>
      </w:pPr>
      <w:r w:rsidRPr="00D36389">
        <w:rPr>
          <w:color w:val="006A66"/>
          <w:sz w:val="28"/>
          <w:szCs w:val="28"/>
          <w:lang w:val="en-GB"/>
        </w:rPr>
        <w:t>Highlighting the regional contribution to the global agenda and its guiding role for national efforts.</w:t>
      </w:r>
    </w:p>
    <w:p w14:paraId="352D0E52" w14:textId="440BDC1E" w:rsidR="002C2024" w:rsidRDefault="007D0FAD">
      <w:pPr>
        <w:pStyle w:val="Heading2"/>
        <w:numPr>
          <w:ilvl w:val="0"/>
          <w:numId w:val="1"/>
        </w:numPr>
        <w:ind w:left="567" w:hanging="283"/>
        <w:rPr>
          <w:color w:val="ED7D31"/>
          <w:sz w:val="36"/>
          <w:szCs w:val="36"/>
        </w:rPr>
      </w:pPr>
      <w:r>
        <w:rPr>
          <w:color w:val="ED7D31"/>
          <w:sz w:val="36"/>
          <w:szCs w:val="36"/>
        </w:rPr>
        <w:t xml:space="preserve">Expected Outcomes </w:t>
      </w:r>
    </w:p>
    <w:p w14:paraId="735B8262" w14:textId="77777777" w:rsidR="00D36389" w:rsidRPr="00D36389" w:rsidRDefault="00D36389" w:rsidP="00D36389">
      <w:pPr>
        <w:pStyle w:val="NoSpacing"/>
        <w:numPr>
          <w:ilvl w:val="0"/>
          <w:numId w:val="9"/>
        </w:numPr>
        <w:rPr>
          <w:lang w:val="en-GB"/>
        </w:rPr>
      </w:pPr>
      <w:r w:rsidRPr="00D36389">
        <w:rPr>
          <w:b/>
          <w:bCs/>
          <w:lang w:val="en-GB"/>
        </w:rPr>
        <w:t>Strengthened strategic and innovative alliances</w:t>
      </w:r>
      <w:r w:rsidRPr="00D36389">
        <w:rPr>
          <w:lang w:val="en-GB"/>
        </w:rPr>
        <w:t>, reflected in clearer roles and complementarities among tripartite constituents, regional and international organizations and development partners, and in the identification of concrete opportunities for joint action and collaboration to advance the prevention and elimination of child labour.</w:t>
      </w:r>
    </w:p>
    <w:p w14:paraId="053C701F" w14:textId="77777777" w:rsidR="00D36389" w:rsidRDefault="00D36389" w:rsidP="00D36389">
      <w:pPr>
        <w:pStyle w:val="NoSpacing"/>
        <w:numPr>
          <w:ilvl w:val="0"/>
          <w:numId w:val="9"/>
        </w:numPr>
        <w:rPr>
          <w:lang w:val="en-GB"/>
        </w:rPr>
      </w:pPr>
      <w:r w:rsidRPr="00D36389">
        <w:rPr>
          <w:b/>
          <w:bCs/>
          <w:lang w:val="en-GB"/>
        </w:rPr>
        <w:t>Enhanced regional coherence and action-oriented alignment,</w:t>
      </w:r>
      <w:r w:rsidRPr="00D36389">
        <w:rPr>
          <w:lang w:val="en-GB"/>
        </w:rPr>
        <w:t xml:space="preserve"> translated into shared priorities and practical entry points to better connect global commitments, regional frameworks and national responses, and to </w:t>
      </w:r>
      <w:r w:rsidRPr="00D36389">
        <w:rPr>
          <w:lang w:val="en-GB"/>
        </w:rPr>
        <w:lastRenderedPageBreak/>
        <w:t>support the design and implementation of integrated and preventive approaches at country and territorial levels.</w:t>
      </w:r>
    </w:p>
    <w:p w14:paraId="352D0E5A" w14:textId="7AA5FE8B" w:rsidR="002C2024" w:rsidRDefault="007D0FAD" w:rsidP="00D36389">
      <w:pPr>
        <w:pStyle w:val="Heading2"/>
        <w:numPr>
          <w:ilvl w:val="0"/>
          <w:numId w:val="1"/>
        </w:numPr>
        <w:ind w:left="567" w:hanging="283"/>
        <w:rPr>
          <w:color w:val="ED7D31"/>
          <w:sz w:val="36"/>
          <w:szCs w:val="36"/>
        </w:rPr>
      </w:pPr>
      <w:r>
        <w:rPr>
          <w:color w:val="ED7D31"/>
          <w:sz w:val="36"/>
          <w:szCs w:val="36"/>
        </w:rPr>
        <w:t>Session Format</w:t>
      </w:r>
    </w:p>
    <w:p w14:paraId="01784E18" w14:textId="77777777" w:rsidR="00D36389" w:rsidRPr="00D36389" w:rsidRDefault="00D36389" w:rsidP="00D36389">
      <w:pPr>
        <w:pStyle w:val="NoSpacing"/>
        <w:rPr>
          <w:lang w:val="en-GB"/>
        </w:rPr>
      </w:pPr>
      <w:r w:rsidRPr="00D36389">
        <w:rPr>
          <w:b/>
          <w:bCs/>
          <w:lang w:val="en-GB"/>
        </w:rPr>
        <w:t>Language:</w:t>
      </w:r>
      <w:r w:rsidRPr="00D36389">
        <w:rPr>
          <w:lang w:val="en-GB"/>
        </w:rPr>
        <w:t xml:space="preserve"> Spanish and English, with interpretation into other languages provided through the </w:t>
      </w:r>
      <w:proofErr w:type="spellStart"/>
      <w:r w:rsidRPr="00D36389">
        <w:rPr>
          <w:lang w:val="en-GB"/>
        </w:rPr>
        <w:t>Wordly</w:t>
      </w:r>
      <w:proofErr w:type="spellEnd"/>
      <w:r w:rsidRPr="00D36389">
        <w:rPr>
          <w:lang w:val="en-GB"/>
        </w:rPr>
        <w:t xml:space="preserve"> application.</w:t>
      </w:r>
    </w:p>
    <w:p w14:paraId="7F589740" w14:textId="77777777" w:rsidR="00D36389" w:rsidRPr="00D36389" w:rsidRDefault="00D36389" w:rsidP="00D36389">
      <w:pPr>
        <w:pStyle w:val="NoSpacing"/>
        <w:rPr>
          <w:lang w:val="en-GB"/>
        </w:rPr>
      </w:pPr>
      <w:r w:rsidRPr="00D36389">
        <w:rPr>
          <w:lang w:val="en-GB"/>
        </w:rPr>
        <w:t>The session will be organized in a roundtable format, conceived as a structured dialogue among representatives from different sectors and levels. Participants’ initial interventions will be brief and aimed at providing complementary perspectives on regional priorities, followed by a moderated exchange to facilitate joint reflection and dialogue with the audience.</w:t>
      </w:r>
    </w:p>
    <w:p w14:paraId="04AF7CB9" w14:textId="77777777" w:rsidR="00D36389" w:rsidRPr="00D36389" w:rsidRDefault="00D36389" w:rsidP="00D36389">
      <w:pPr>
        <w:pStyle w:val="NoSpacing"/>
        <w:rPr>
          <w:lang w:val="en-GB"/>
        </w:rPr>
      </w:pPr>
      <w:r w:rsidRPr="00D36389">
        <w:rPr>
          <w:lang w:val="en-GB"/>
        </w:rPr>
        <w:t>The roundtable format will foster an open and balanced conversation, encouraging the exchange of experiences, the identification of areas of convergence, and the sharing of innovative approaches and responses, in line with existing regional and global frameworks.</w:t>
      </w:r>
    </w:p>
    <w:p w14:paraId="352D0E5C" w14:textId="77777777" w:rsidR="002C2024" w:rsidRDefault="007D0FAD">
      <w:pPr>
        <w:pStyle w:val="Heading2"/>
        <w:numPr>
          <w:ilvl w:val="0"/>
          <w:numId w:val="1"/>
        </w:numPr>
        <w:ind w:left="567" w:hanging="283"/>
        <w:rPr>
          <w:color w:val="ED7D31"/>
          <w:sz w:val="36"/>
          <w:szCs w:val="36"/>
        </w:rPr>
      </w:pPr>
      <w:r>
        <w:rPr>
          <w:color w:val="ED7D31"/>
          <w:sz w:val="36"/>
          <w:szCs w:val="36"/>
        </w:rPr>
        <w:t>Proposed speakers and targeted audience</w:t>
      </w:r>
    </w:p>
    <w:p w14:paraId="4E8BF7F7" w14:textId="54CBE771" w:rsidR="00D36389" w:rsidRPr="00D36389" w:rsidRDefault="00D36389" w:rsidP="00D36389">
      <w:pPr>
        <w:pStyle w:val="NoSpacing"/>
        <w:rPr>
          <w:lang w:val="en-GB"/>
        </w:rPr>
      </w:pPr>
      <w:r w:rsidRPr="00D36389">
        <w:rPr>
          <w:lang w:val="en-GB"/>
        </w:rPr>
        <w:t>The panel will bring together high-level government authorities from the region, as well as representatives of employers’ and workers’</w:t>
      </w:r>
      <w:r>
        <w:rPr>
          <w:lang w:val="en-GB"/>
        </w:rPr>
        <w:t xml:space="preserve"> </w:t>
      </w:r>
      <w:r w:rsidRPr="00D36389">
        <w:rPr>
          <w:lang w:val="en-GB"/>
        </w:rPr>
        <w:t>organizations</w:t>
      </w:r>
      <w:r>
        <w:rPr>
          <w:lang w:val="en-GB"/>
        </w:rPr>
        <w:t>, partner for development</w:t>
      </w:r>
      <w:r w:rsidRPr="00D36389">
        <w:rPr>
          <w:lang w:val="en-GB"/>
        </w:rPr>
        <w:t xml:space="preserve"> and civil society actors, with recognized experience and commitment in the prevention and elimination of child labour.</w:t>
      </w:r>
    </w:p>
    <w:p w14:paraId="6AB48F0D" w14:textId="77777777" w:rsidR="00D36389" w:rsidRPr="00D36389" w:rsidRDefault="00D36389" w:rsidP="00D36389">
      <w:pPr>
        <w:pStyle w:val="NoSpacing"/>
        <w:rPr>
          <w:lang w:val="en-GB"/>
        </w:rPr>
      </w:pPr>
      <w:r w:rsidRPr="00D36389">
        <w:rPr>
          <w:lang w:val="en-GB"/>
        </w:rPr>
        <w:t xml:space="preserve">The target audience includes public </w:t>
      </w:r>
      <w:proofErr w:type="gramStart"/>
      <w:r w:rsidRPr="00D36389">
        <w:rPr>
          <w:lang w:val="en-GB"/>
        </w:rPr>
        <w:t>policy-makers</w:t>
      </w:r>
      <w:proofErr w:type="gramEnd"/>
      <w:r w:rsidRPr="00D36389">
        <w:rPr>
          <w:lang w:val="en-GB"/>
        </w:rPr>
        <w:t>, social partners, civil society organizations, international organizations and other key stakeholders interested in contributing to the prevention and elimination of child labour (PEC), in line with the priorities defined through the Regional Consultation of the Americas and their contribution to the global agenda.</w:t>
      </w:r>
    </w:p>
    <w:p w14:paraId="352D0E5E" w14:textId="77777777" w:rsidR="002C2024" w:rsidRDefault="007D0FAD">
      <w:pPr>
        <w:pStyle w:val="Heading2"/>
        <w:numPr>
          <w:ilvl w:val="0"/>
          <w:numId w:val="1"/>
        </w:numPr>
        <w:ind w:left="567" w:hanging="283"/>
        <w:rPr>
          <w:color w:val="ED7D31"/>
          <w:sz w:val="36"/>
          <w:szCs w:val="36"/>
        </w:rPr>
      </w:pPr>
      <w:r>
        <w:rPr>
          <w:color w:val="ED7D31"/>
          <w:sz w:val="36"/>
          <w:szCs w:val="36"/>
        </w:rPr>
        <w:t>Session Flow</w:t>
      </w:r>
    </w:p>
    <w:p w14:paraId="352D0E60" w14:textId="6A9B8CB4" w:rsidR="002C2024" w:rsidRDefault="002C2024">
      <w:pPr>
        <w:pBdr>
          <w:top w:val="nil"/>
          <w:left w:val="nil"/>
          <w:bottom w:val="nil"/>
          <w:right w:val="nil"/>
          <w:between w:val="nil"/>
        </w:pBdr>
        <w:spacing w:line="264" w:lineRule="auto"/>
        <w:jc w:val="left"/>
        <w:rPr>
          <w:color w:val="006A66"/>
          <w:sz w:val="28"/>
          <w:szCs w:val="28"/>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2800"/>
        <w:gridCol w:w="2257"/>
        <w:gridCol w:w="2172"/>
      </w:tblGrid>
      <w:tr w:rsidR="005E7930" w14:paraId="347A024E" w14:textId="77777777" w:rsidTr="5D086CF5">
        <w:tc>
          <w:tcPr>
            <w:tcW w:w="1833" w:type="dxa"/>
            <w:tcBorders>
              <w:bottom w:val="single" w:sz="4" w:space="0" w:color="000000" w:themeColor="text1"/>
            </w:tcBorders>
          </w:tcPr>
          <w:p w14:paraId="23885858"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Slot</w:t>
            </w:r>
          </w:p>
        </w:tc>
        <w:tc>
          <w:tcPr>
            <w:tcW w:w="2800" w:type="dxa"/>
            <w:tcBorders>
              <w:bottom w:val="single" w:sz="4" w:space="0" w:color="000000" w:themeColor="text1"/>
            </w:tcBorders>
          </w:tcPr>
          <w:p w14:paraId="40B1FDFD"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Segment</w:t>
            </w:r>
          </w:p>
        </w:tc>
        <w:tc>
          <w:tcPr>
            <w:tcW w:w="2257" w:type="dxa"/>
            <w:tcBorders>
              <w:bottom w:val="single" w:sz="4" w:space="0" w:color="000000" w:themeColor="text1"/>
            </w:tcBorders>
          </w:tcPr>
          <w:p w14:paraId="07699A78"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Lead</w:t>
            </w:r>
          </w:p>
        </w:tc>
        <w:tc>
          <w:tcPr>
            <w:tcW w:w="2172" w:type="dxa"/>
            <w:tcBorders>
              <w:bottom w:val="single" w:sz="4" w:space="0" w:color="000000" w:themeColor="text1"/>
            </w:tcBorders>
          </w:tcPr>
          <w:p w14:paraId="7957B2F9"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Description / Notes</w:t>
            </w:r>
          </w:p>
        </w:tc>
      </w:tr>
      <w:tr w:rsidR="005E7930" w:rsidRPr="004C0026" w14:paraId="2D9A9F70" w14:textId="77777777" w:rsidTr="5D086CF5">
        <w:tc>
          <w:tcPr>
            <w:tcW w:w="1833" w:type="dxa"/>
            <w:tcBorders>
              <w:bottom w:val="single" w:sz="4" w:space="0" w:color="000000" w:themeColor="text1"/>
            </w:tcBorders>
          </w:tcPr>
          <w:p w14:paraId="47B729F3"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3-5 mins</w:t>
            </w:r>
          </w:p>
        </w:tc>
        <w:tc>
          <w:tcPr>
            <w:tcW w:w="2800" w:type="dxa"/>
            <w:tcBorders>
              <w:bottom w:val="single" w:sz="4" w:space="0" w:color="000000" w:themeColor="text1"/>
            </w:tcBorders>
          </w:tcPr>
          <w:p w14:paraId="58D13148"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Apertura</w:t>
            </w:r>
          </w:p>
        </w:tc>
        <w:tc>
          <w:tcPr>
            <w:tcW w:w="2257" w:type="dxa"/>
            <w:tcBorders>
              <w:bottom w:val="single" w:sz="4" w:space="0" w:color="000000" w:themeColor="text1"/>
            </w:tcBorders>
          </w:tcPr>
          <w:p w14:paraId="6C5C8779"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Moderator / MC</w:t>
            </w:r>
          </w:p>
        </w:tc>
        <w:tc>
          <w:tcPr>
            <w:tcW w:w="2172" w:type="dxa"/>
            <w:tcBorders>
              <w:bottom w:val="single" w:sz="4" w:space="0" w:color="000000" w:themeColor="text1"/>
            </w:tcBorders>
          </w:tcPr>
          <w:p w14:paraId="34C61183" w14:textId="182C9FCD" w:rsidR="005E7930" w:rsidRPr="004C0026" w:rsidRDefault="004C0026">
            <w:pPr>
              <w:pBdr>
                <w:top w:val="nil"/>
                <w:left w:val="nil"/>
                <w:bottom w:val="nil"/>
                <w:right w:val="nil"/>
                <w:between w:val="nil"/>
              </w:pBdr>
              <w:spacing w:line="264" w:lineRule="auto"/>
              <w:jc w:val="left"/>
              <w:rPr>
                <w:color w:val="006A66"/>
                <w:sz w:val="28"/>
                <w:szCs w:val="28"/>
                <w:lang w:val="en-GB"/>
              </w:rPr>
            </w:pPr>
            <w:r w:rsidRPr="004C0026">
              <w:rPr>
                <w:color w:val="006A66"/>
                <w:sz w:val="28"/>
                <w:szCs w:val="28"/>
                <w:lang w:val="en-GB"/>
              </w:rPr>
              <w:t xml:space="preserve">Presentation of the objectives </w:t>
            </w:r>
            <w:r w:rsidRPr="004C0026">
              <w:rPr>
                <w:color w:val="006A66"/>
                <w:sz w:val="28"/>
                <w:szCs w:val="28"/>
                <w:lang w:val="en-GB"/>
              </w:rPr>
              <w:lastRenderedPageBreak/>
              <w:t>and approach of the session</w:t>
            </w:r>
          </w:p>
        </w:tc>
      </w:tr>
      <w:tr w:rsidR="005E7930" w:rsidRPr="009E7752" w14:paraId="220F4E25" w14:textId="77777777" w:rsidTr="5D086CF5">
        <w:trPr>
          <w:trHeight w:val="239"/>
        </w:trPr>
        <w:tc>
          <w:tcPr>
            <w:tcW w:w="1833" w:type="dxa"/>
            <w:tcBorders>
              <w:top w:val="single" w:sz="4" w:space="0" w:color="000000" w:themeColor="text1"/>
            </w:tcBorders>
          </w:tcPr>
          <w:p w14:paraId="1FE36527" w14:textId="77777777" w:rsidR="005E7930" w:rsidRPr="00A64245"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lastRenderedPageBreak/>
              <w:t>20 min</w:t>
            </w:r>
          </w:p>
        </w:tc>
        <w:tc>
          <w:tcPr>
            <w:tcW w:w="2800" w:type="dxa"/>
            <w:tcBorders>
              <w:top w:val="single" w:sz="4" w:space="0" w:color="000000" w:themeColor="text1"/>
            </w:tcBorders>
          </w:tcPr>
          <w:p w14:paraId="71AC5E5C" w14:textId="5DB70128" w:rsidR="005E7930" w:rsidRDefault="00D36389">
            <w:pPr>
              <w:pBdr>
                <w:top w:val="nil"/>
                <w:left w:val="nil"/>
                <w:bottom w:val="nil"/>
                <w:right w:val="nil"/>
                <w:between w:val="nil"/>
              </w:pBdr>
              <w:spacing w:line="264" w:lineRule="auto"/>
              <w:jc w:val="left"/>
              <w:rPr>
                <w:color w:val="006A66"/>
                <w:sz w:val="28"/>
                <w:szCs w:val="28"/>
              </w:rPr>
            </w:pPr>
            <w:r>
              <w:rPr>
                <w:color w:val="006A66"/>
                <w:sz w:val="28"/>
                <w:szCs w:val="28"/>
              </w:rPr>
              <w:t>Conceptual Framework</w:t>
            </w:r>
          </w:p>
        </w:tc>
        <w:tc>
          <w:tcPr>
            <w:tcW w:w="2257" w:type="dxa"/>
            <w:tcBorders>
              <w:top w:val="single" w:sz="4" w:space="0" w:color="000000" w:themeColor="text1"/>
            </w:tcBorders>
          </w:tcPr>
          <w:p w14:paraId="7CACDD6A" w14:textId="210D0C5E" w:rsidR="005E7930" w:rsidRDefault="004C0026">
            <w:pPr>
              <w:pBdr>
                <w:top w:val="nil"/>
                <w:left w:val="nil"/>
                <w:bottom w:val="nil"/>
                <w:right w:val="nil"/>
                <w:between w:val="nil"/>
              </w:pBdr>
              <w:spacing w:line="264" w:lineRule="auto"/>
              <w:jc w:val="left"/>
              <w:rPr>
                <w:color w:val="006A66"/>
                <w:sz w:val="28"/>
                <w:szCs w:val="28"/>
              </w:rPr>
            </w:pPr>
            <w:r>
              <w:rPr>
                <w:color w:val="006A66"/>
                <w:sz w:val="28"/>
                <w:szCs w:val="28"/>
              </w:rPr>
              <w:t>Keynote speaker</w:t>
            </w:r>
          </w:p>
        </w:tc>
        <w:tc>
          <w:tcPr>
            <w:tcW w:w="2172" w:type="dxa"/>
            <w:tcBorders>
              <w:top w:val="single" w:sz="4" w:space="0" w:color="000000" w:themeColor="text1"/>
            </w:tcBorders>
          </w:tcPr>
          <w:p w14:paraId="0EB71E3A" w14:textId="197A8521" w:rsidR="005E7930" w:rsidRPr="00A64245" w:rsidRDefault="004C0026">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 xml:space="preserve">Regional </w:t>
            </w:r>
            <w:proofErr w:type="spellStart"/>
            <w:r>
              <w:rPr>
                <w:color w:val="006A66"/>
                <w:sz w:val="28"/>
                <w:szCs w:val="28"/>
                <w:lang w:val="es-ES"/>
              </w:rPr>
              <w:t>priorities</w:t>
            </w:r>
            <w:proofErr w:type="spellEnd"/>
          </w:p>
        </w:tc>
      </w:tr>
      <w:tr w:rsidR="005E7930" w:rsidRPr="00D36389" w14:paraId="6A97541F" w14:textId="77777777" w:rsidTr="5D086CF5">
        <w:tc>
          <w:tcPr>
            <w:tcW w:w="1833" w:type="dxa"/>
          </w:tcPr>
          <w:p w14:paraId="4035A853"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50 min</w:t>
            </w:r>
          </w:p>
        </w:tc>
        <w:tc>
          <w:tcPr>
            <w:tcW w:w="2800" w:type="dxa"/>
          </w:tcPr>
          <w:p w14:paraId="65874B8C" w14:textId="77777777" w:rsidR="005E7930" w:rsidRDefault="005E7930">
            <w:pPr>
              <w:pBdr>
                <w:top w:val="nil"/>
                <w:left w:val="nil"/>
                <w:bottom w:val="nil"/>
                <w:right w:val="nil"/>
                <w:between w:val="nil"/>
              </w:pBdr>
              <w:spacing w:line="264" w:lineRule="auto"/>
              <w:ind w:left="360"/>
              <w:jc w:val="left"/>
              <w:rPr>
                <w:color w:val="006A66"/>
                <w:sz w:val="28"/>
                <w:szCs w:val="28"/>
              </w:rPr>
            </w:pPr>
            <w:r>
              <w:rPr>
                <w:color w:val="006A66"/>
                <w:sz w:val="28"/>
                <w:szCs w:val="28"/>
              </w:rPr>
              <w:t>Panel de discursion</w:t>
            </w:r>
          </w:p>
        </w:tc>
        <w:tc>
          <w:tcPr>
            <w:tcW w:w="2257" w:type="dxa"/>
          </w:tcPr>
          <w:p w14:paraId="126A1A12" w14:textId="77777777" w:rsidR="005E7930" w:rsidRDefault="005E7930">
            <w:pPr>
              <w:pBdr>
                <w:top w:val="nil"/>
                <w:left w:val="nil"/>
                <w:bottom w:val="nil"/>
                <w:right w:val="nil"/>
                <w:between w:val="nil"/>
              </w:pBdr>
              <w:spacing w:line="264" w:lineRule="auto"/>
              <w:jc w:val="left"/>
              <w:rPr>
                <w:color w:val="006A66"/>
                <w:sz w:val="28"/>
                <w:szCs w:val="28"/>
              </w:rPr>
            </w:pPr>
            <w:proofErr w:type="spellStart"/>
            <w:r>
              <w:rPr>
                <w:color w:val="006A66"/>
                <w:sz w:val="28"/>
                <w:szCs w:val="28"/>
              </w:rPr>
              <w:t>Panelistas</w:t>
            </w:r>
            <w:proofErr w:type="spellEnd"/>
          </w:p>
        </w:tc>
        <w:tc>
          <w:tcPr>
            <w:tcW w:w="2172" w:type="dxa"/>
          </w:tcPr>
          <w:p w14:paraId="0B76E0B6" w14:textId="33345964" w:rsidR="005E7930" w:rsidRPr="00D36389" w:rsidRDefault="00D36389">
            <w:pPr>
              <w:pBdr>
                <w:top w:val="nil"/>
                <w:left w:val="nil"/>
                <w:bottom w:val="nil"/>
                <w:right w:val="nil"/>
                <w:between w:val="nil"/>
              </w:pBdr>
              <w:spacing w:line="264" w:lineRule="auto"/>
              <w:jc w:val="left"/>
              <w:rPr>
                <w:color w:val="006A66"/>
                <w:sz w:val="28"/>
                <w:szCs w:val="28"/>
                <w:lang w:val="en-GB"/>
              </w:rPr>
            </w:pPr>
            <w:r w:rsidRPr="00D36389">
              <w:rPr>
                <w:color w:val="006A66"/>
                <w:sz w:val="28"/>
                <w:szCs w:val="28"/>
                <w:lang w:val="en-GB"/>
              </w:rPr>
              <w:t>Exchange of experiences, policies and challenges</w:t>
            </w:r>
          </w:p>
        </w:tc>
      </w:tr>
      <w:tr w:rsidR="005E7930" w:rsidRPr="008633E2" w14:paraId="20737CD1" w14:textId="77777777" w:rsidTr="5D086CF5">
        <w:tc>
          <w:tcPr>
            <w:tcW w:w="1833" w:type="dxa"/>
          </w:tcPr>
          <w:p w14:paraId="4A831755"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25 min</w:t>
            </w:r>
          </w:p>
        </w:tc>
        <w:tc>
          <w:tcPr>
            <w:tcW w:w="2800" w:type="dxa"/>
          </w:tcPr>
          <w:p w14:paraId="2222EB34" w14:textId="77777777" w:rsidR="005E7930" w:rsidRPr="008633E2" w:rsidRDefault="005E7930">
            <w:pPr>
              <w:pBdr>
                <w:top w:val="nil"/>
                <w:left w:val="nil"/>
                <w:bottom w:val="nil"/>
                <w:right w:val="nil"/>
                <w:between w:val="nil"/>
              </w:pBdr>
              <w:spacing w:line="264" w:lineRule="auto"/>
              <w:ind w:left="360"/>
              <w:jc w:val="left"/>
              <w:rPr>
                <w:color w:val="006A66"/>
                <w:sz w:val="28"/>
                <w:szCs w:val="28"/>
                <w:lang w:val="es-ES"/>
              </w:rPr>
            </w:pPr>
            <w:r w:rsidRPr="008633E2">
              <w:rPr>
                <w:color w:val="006A66"/>
                <w:sz w:val="28"/>
                <w:szCs w:val="28"/>
                <w:lang w:val="es-ES"/>
              </w:rPr>
              <w:t>Preguntas y respuesta de</w:t>
            </w:r>
            <w:r>
              <w:rPr>
                <w:color w:val="006A66"/>
                <w:sz w:val="28"/>
                <w:szCs w:val="28"/>
                <w:lang w:val="es-ES"/>
              </w:rPr>
              <w:t>l público</w:t>
            </w:r>
          </w:p>
        </w:tc>
        <w:tc>
          <w:tcPr>
            <w:tcW w:w="2257" w:type="dxa"/>
          </w:tcPr>
          <w:p w14:paraId="30A5DCC5" w14:textId="77777777" w:rsidR="005E7930"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Moderación</w:t>
            </w:r>
          </w:p>
          <w:p w14:paraId="661331DA" w14:textId="77777777" w:rsidR="005E7930" w:rsidRPr="008633E2"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Panelistas</w:t>
            </w:r>
          </w:p>
        </w:tc>
        <w:tc>
          <w:tcPr>
            <w:tcW w:w="2172" w:type="dxa"/>
          </w:tcPr>
          <w:p w14:paraId="096C728F" w14:textId="7C5EDC8F" w:rsidR="005E7930" w:rsidRDefault="004C0026">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 xml:space="preserve">Questions and </w:t>
            </w:r>
            <w:proofErr w:type="spellStart"/>
            <w:r>
              <w:rPr>
                <w:color w:val="006A66"/>
                <w:sz w:val="28"/>
                <w:szCs w:val="28"/>
                <w:lang w:val="es-ES"/>
              </w:rPr>
              <w:t>comments</w:t>
            </w:r>
            <w:proofErr w:type="spellEnd"/>
            <w:r w:rsidR="005E7930">
              <w:rPr>
                <w:color w:val="006A66"/>
                <w:sz w:val="28"/>
                <w:szCs w:val="28"/>
                <w:lang w:val="es-ES"/>
              </w:rPr>
              <w:t xml:space="preserve"> </w:t>
            </w:r>
          </w:p>
        </w:tc>
      </w:tr>
      <w:tr w:rsidR="005E7930" w:rsidRPr="004C0026" w14:paraId="0DE91E2A" w14:textId="77777777" w:rsidTr="5D086CF5">
        <w:tc>
          <w:tcPr>
            <w:tcW w:w="1833" w:type="dxa"/>
          </w:tcPr>
          <w:p w14:paraId="09881F7E" w14:textId="77777777" w:rsidR="005E7930" w:rsidRDefault="005E7930">
            <w:pPr>
              <w:pBdr>
                <w:top w:val="nil"/>
                <w:left w:val="nil"/>
                <w:bottom w:val="nil"/>
                <w:right w:val="nil"/>
                <w:between w:val="nil"/>
              </w:pBdr>
              <w:spacing w:line="264" w:lineRule="auto"/>
              <w:jc w:val="left"/>
              <w:rPr>
                <w:color w:val="006A66"/>
                <w:sz w:val="28"/>
                <w:szCs w:val="28"/>
              </w:rPr>
            </w:pPr>
            <w:r>
              <w:rPr>
                <w:color w:val="006A66"/>
                <w:sz w:val="28"/>
                <w:szCs w:val="28"/>
              </w:rPr>
              <w:t>10 min</w:t>
            </w:r>
          </w:p>
        </w:tc>
        <w:tc>
          <w:tcPr>
            <w:tcW w:w="2800" w:type="dxa"/>
          </w:tcPr>
          <w:p w14:paraId="462CD5C7" w14:textId="38DC7602" w:rsidR="005E7930" w:rsidRPr="008633E2" w:rsidRDefault="2D66A017" w:rsidP="5D086CF5">
            <w:pPr>
              <w:pBdr>
                <w:top w:val="nil"/>
                <w:left w:val="nil"/>
                <w:bottom w:val="nil"/>
                <w:right w:val="nil"/>
                <w:between w:val="nil"/>
              </w:pBdr>
              <w:spacing w:line="264" w:lineRule="auto"/>
              <w:ind w:left="360"/>
              <w:jc w:val="left"/>
              <w:rPr>
                <w:color w:val="006A66"/>
                <w:sz w:val="28"/>
                <w:szCs w:val="28"/>
                <w:lang w:val="es-ES"/>
              </w:rPr>
            </w:pPr>
            <w:r w:rsidRPr="5D086CF5">
              <w:rPr>
                <w:color w:val="006A66"/>
                <w:sz w:val="28"/>
                <w:szCs w:val="28"/>
                <w:lang w:val="es-ES"/>
              </w:rPr>
              <w:t>C</w:t>
            </w:r>
            <w:r w:rsidR="64B37EB2" w:rsidRPr="5D086CF5">
              <w:rPr>
                <w:color w:val="006A66"/>
                <w:sz w:val="28"/>
                <w:szCs w:val="28"/>
                <w:lang w:val="es-ES"/>
              </w:rPr>
              <w:t>ierre</w:t>
            </w:r>
          </w:p>
        </w:tc>
        <w:tc>
          <w:tcPr>
            <w:tcW w:w="2257" w:type="dxa"/>
          </w:tcPr>
          <w:p w14:paraId="41120531" w14:textId="77777777" w:rsidR="005E7930" w:rsidRDefault="005E7930">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Moderación</w:t>
            </w:r>
          </w:p>
        </w:tc>
        <w:tc>
          <w:tcPr>
            <w:tcW w:w="2172" w:type="dxa"/>
          </w:tcPr>
          <w:p w14:paraId="6B5DF0BB" w14:textId="4BF7F0AF" w:rsidR="005E7930" w:rsidRPr="004C0026" w:rsidRDefault="004C0026">
            <w:pPr>
              <w:pBdr>
                <w:top w:val="nil"/>
                <w:left w:val="nil"/>
                <w:bottom w:val="nil"/>
                <w:right w:val="nil"/>
                <w:between w:val="nil"/>
              </w:pBdr>
              <w:spacing w:line="264" w:lineRule="auto"/>
              <w:jc w:val="left"/>
              <w:rPr>
                <w:color w:val="006A66"/>
                <w:sz w:val="28"/>
                <w:szCs w:val="28"/>
                <w:lang w:val="en-GB"/>
              </w:rPr>
            </w:pPr>
            <w:r w:rsidRPr="004C0026">
              <w:rPr>
                <w:color w:val="006A66"/>
                <w:sz w:val="28"/>
                <w:szCs w:val="28"/>
                <w:lang w:val="en-GB"/>
              </w:rPr>
              <w:t>Synthesis</w:t>
            </w:r>
            <w:r>
              <w:rPr>
                <w:color w:val="006A66"/>
                <w:sz w:val="28"/>
                <w:szCs w:val="28"/>
                <w:lang w:val="en-GB"/>
              </w:rPr>
              <w:t xml:space="preserve"> </w:t>
            </w:r>
            <w:r w:rsidRPr="004C0026">
              <w:rPr>
                <w:color w:val="006A66"/>
                <w:sz w:val="28"/>
                <w:szCs w:val="28"/>
                <w:lang w:val="en-GB"/>
              </w:rPr>
              <w:t>of key messages a</w:t>
            </w:r>
            <w:r>
              <w:rPr>
                <w:color w:val="006A66"/>
                <w:sz w:val="28"/>
                <w:szCs w:val="28"/>
                <w:lang w:val="en-GB"/>
              </w:rPr>
              <w:t>nd next steps</w:t>
            </w:r>
          </w:p>
        </w:tc>
      </w:tr>
    </w:tbl>
    <w:p w14:paraId="352D0E75" w14:textId="77777777" w:rsidR="002C2024" w:rsidRPr="004C0026" w:rsidRDefault="002C2024">
      <w:pPr>
        <w:rPr>
          <w:lang w:val="en-GB"/>
        </w:rPr>
      </w:pPr>
    </w:p>
    <w:p w14:paraId="352D0E76" w14:textId="77777777" w:rsidR="002C2024" w:rsidRDefault="007D0FAD">
      <w:pPr>
        <w:pStyle w:val="Heading2"/>
        <w:numPr>
          <w:ilvl w:val="0"/>
          <w:numId w:val="1"/>
        </w:numPr>
        <w:ind w:left="567" w:hanging="283"/>
        <w:rPr>
          <w:color w:val="ED7D31"/>
          <w:sz w:val="36"/>
          <w:szCs w:val="36"/>
        </w:rPr>
      </w:pPr>
      <w:r>
        <w:rPr>
          <w:color w:val="ED7D31"/>
          <w:sz w:val="36"/>
          <w:szCs w:val="36"/>
        </w:rPr>
        <w:t>About Organisers at the 6th Global Conference on the Elimination of Child Labour (optional)</w:t>
      </w:r>
    </w:p>
    <w:p w14:paraId="352D0E78" w14:textId="77777777" w:rsidR="002C2024" w:rsidRDefault="002C2024"/>
    <w:p w14:paraId="445B2547" w14:textId="77777777" w:rsidR="004C0026" w:rsidRPr="004C0026" w:rsidRDefault="004C0026" w:rsidP="004C0026">
      <w:pPr>
        <w:pStyle w:val="NoSpacing"/>
        <w:rPr>
          <w:lang w:val="en-GB"/>
        </w:rPr>
      </w:pPr>
      <w:r w:rsidRPr="004C0026">
        <w:rPr>
          <w:lang w:val="en-GB"/>
        </w:rPr>
        <w:t xml:space="preserve">The </w:t>
      </w:r>
      <w:r w:rsidRPr="004C0026">
        <w:rPr>
          <w:b/>
          <w:bCs/>
          <w:lang w:val="en-GB"/>
        </w:rPr>
        <w:t>Tripartite Declaration of Punta Cana (2025)</w:t>
      </w:r>
      <w:r w:rsidRPr="004C0026">
        <w:rPr>
          <w:lang w:val="en-GB"/>
        </w:rPr>
        <w:t xml:space="preserve">, adopted at the </w:t>
      </w:r>
      <w:r w:rsidRPr="004C0026">
        <w:rPr>
          <w:b/>
          <w:bCs/>
          <w:lang w:val="en-GB"/>
        </w:rPr>
        <w:t>20th Regional Meeting of the Americas of the ILO</w:t>
      </w:r>
      <w:r w:rsidRPr="004C0026">
        <w:rPr>
          <w:lang w:val="en-GB"/>
        </w:rPr>
        <w:t xml:space="preserve">, reaffirms the priority of the abolition of child labour in the Americas, the sustained commitment to its prevention and elimination, and the recognition of the </w:t>
      </w:r>
      <w:r w:rsidRPr="004C0026">
        <w:rPr>
          <w:b/>
          <w:bCs/>
          <w:lang w:val="en-GB"/>
        </w:rPr>
        <w:t>Latin America and the Caribbean Regional Initiative Free of Child Labour</w:t>
      </w:r>
      <w:r w:rsidRPr="004C0026">
        <w:rPr>
          <w:lang w:val="en-GB"/>
        </w:rPr>
        <w:t xml:space="preserve"> as a benchmark for regional cooperation.</w:t>
      </w:r>
    </w:p>
    <w:p w14:paraId="77B1EABC" w14:textId="77777777" w:rsidR="004C0026" w:rsidRPr="004C0026" w:rsidRDefault="004C0026" w:rsidP="004C0026">
      <w:pPr>
        <w:pStyle w:val="NoSpacing"/>
        <w:rPr>
          <w:lang w:val="en-GB"/>
        </w:rPr>
      </w:pPr>
      <w:r w:rsidRPr="004C0026">
        <w:rPr>
          <w:lang w:val="en-GB"/>
        </w:rPr>
        <w:t xml:space="preserve">This side event is part of the regional efforts promoted by the </w:t>
      </w:r>
      <w:r w:rsidRPr="004C0026">
        <w:rPr>
          <w:b/>
          <w:bCs/>
          <w:lang w:val="en-GB"/>
        </w:rPr>
        <w:t>Latin America and the Caribbean Regional Initiative Free of Child Labour</w:t>
      </w:r>
      <w:r w:rsidRPr="004C0026">
        <w:rPr>
          <w:lang w:val="en-GB"/>
        </w:rPr>
        <w:t>, the regional tripartite platform whose technical secretariat is led by the ILO, which for more than a decade has promoted the articulation of public policies and coordinated responses for the prevention and elimination of child labour in the region.</w:t>
      </w:r>
    </w:p>
    <w:p w14:paraId="7F87153F" w14:textId="77777777" w:rsidR="004C0026" w:rsidRPr="004C0026" w:rsidRDefault="004C0026" w:rsidP="004C0026">
      <w:pPr>
        <w:pStyle w:val="NoSpacing"/>
        <w:rPr>
          <w:lang w:val="en-GB"/>
        </w:rPr>
      </w:pPr>
      <w:r w:rsidRPr="004C0026">
        <w:rPr>
          <w:lang w:val="en-GB"/>
        </w:rPr>
        <w:t xml:space="preserve">These commitments were further reinforced during the </w:t>
      </w:r>
      <w:r w:rsidRPr="004C0026">
        <w:rPr>
          <w:b/>
          <w:bCs/>
          <w:lang w:val="en-GB"/>
        </w:rPr>
        <w:t>Regional Consultations of the Americas (2025)</w:t>
      </w:r>
      <w:r w:rsidRPr="004C0026">
        <w:rPr>
          <w:lang w:val="en-GB"/>
        </w:rPr>
        <w:t xml:space="preserve">, held as part of the preparatory process for the </w:t>
      </w:r>
      <w:r w:rsidRPr="004C0026">
        <w:rPr>
          <w:b/>
          <w:bCs/>
          <w:lang w:val="en-GB"/>
        </w:rPr>
        <w:t>6th Global Conference</w:t>
      </w:r>
      <w:r w:rsidRPr="004C0026">
        <w:rPr>
          <w:lang w:val="en-GB"/>
        </w:rPr>
        <w:t xml:space="preserve">, which made it possible to identify shared regional priorities </w:t>
      </w:r>
      <w:r w:rsidRPr="004C0026">
        <w:rPr>
          <w:lang w:val="en-GB"/>
        </w:rPr>
        <w:lastRenderedPageBreak/>
        <w:t>and to integrate them into the Strategic Plan of the Regional Initiative as a guiding framework for the regional contribution to the global agenda and for national responses.</w:t>
      </w:r>
    </w:p>
    <w:p w14:paraId="352D0E79" w14:textId="77777777" w:rsidR="002C2024" w:rsidRPr="004C0026" w:rsidRDefault="002C2024" w:rsidP="00841D3A">
      <w:pPr>
        <w:pStyle w:val="NoSpacing"/>
        <w:rPr>
          <w:lang w:val="en-GB"/>
        </w:rPr>
      </w:pPr>
    </w:p>
    <w:p w14:paraId="352D0E7A" w14:textId="77777777" w:rsidR="002C2024" w:rsidRPr="004C0026" w:rsidRDefault="002C2024">
      <w:pPr>
        <w:rPr>
          <w:lang w:val="en-GB"/>
        </w:rPr>
      </w:pPr>
    </w:p>
    <w:p w14:paraId="352D0E7B" w14:textId="77777777" w:rsidR="002C2024" w:rsidRPr="004C0026" w:rsidRDefault="002C2024">
      <w:pPr>
        <w:tabs>
          <w:tab w:val="left" w:pos="7819"/>
        </w:tabs>
        <w:rPr>
          <w:color w:val="006A66"/>
          <w:sz w:val="28"/>
          <w:szCs w:val="28"/>
          <w:lang w:val="en-GB"/>
        </w:rPr>
      </w:pPr>
    </w:p>
    <w:sectPr w:rsidR="002C2024" w:rsidRPr="004C0026">
      <w:headerReference w:type="default" r:id="rId11"/>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9554C" w14:textId="77777777" w:rsidR="00706E7D" w:rsidRDefault="00706E7D">
      <w:pPr>
        <w:spacing w:before="0" w:after="0"/>
      </w:pPr>
      <w:r>
        <w:separator/>
      </w:r>
    </w:p>
  </w:endnote>
  <w:endnote w:type="continuationSeparator" w:id="0">
    <w:p w14:paraId="6779A5AF" w14:textId="77777777" w:rsidR="00706E7D" w:rsidRDefault="00706E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49D3F6F-4B9D-49DA-9FE0-BF7E69EB0B92}"/>
    <w:embedBold r:id="rId2" w:fontKey="{C9385C63-B2A6-4A4F-94D7-E5303981BB78}"/>
    <w:embedItalic r:id="rId3" w:fontKey="{99571B18-A26D-4096-8F73-D4785A24396A}"/>
  </w:font>
  <w:font w:name="Cera Pro">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Noto Sans">
    <w:panose1 w:val="020B0502040504020204"/>
    <w:charset w:val="00"/>
    <w:family w:val="swiss"/>
    <w:pitch w:val="variable"/>
    <w:sig w:usb0="E00002FF" w:usb1="4000201F" w:usb2="08000029" w:usb3="00000000" w:csb0="0000019F" w:csb1="00000000"/>
    <w:embedRegular r:id="rId4" w:fontKey="{ED7C314E-2617-4A87-82D3-189E014B2958}"/>
  </w:font>
  <w:font w:name="Overpass">
    <w:panose1 w:val="00000500000000000000"/>
    <w:charset w:val="00"/>
    <w:family w:val="auto"/>
    <w:pitch w:val="variable"/>
    <w:sig w:usb0="00000007" w:usb1="00000020" w:usb2="00000000" w:usb3="00000000" w:csb0="00000093" w:csb1="00000000"/>
    <w:embedBold r:id="rId5" w:fontKey="{C866D4B5-C991-4A87-9E29-75C66833C54B}"/>
  </w:font>
  <w:font w:name="Georgia">
    <w:panose1 w:val="02040502050405020303"/>
    <w:charset w:val="00"/>
    <w:family w:val="roman"/>
    <w:pitch w:val="variable"/>
    <w:sig w:usb0="00000287" w:usb1="00000000" w:usb2="00000000" w:usb3="00000000" w:csb0="0000009F" w:csb1="00000000"/>
    <w:embedItalic r:id="rId6" w:fontKey="{F3AA9F3D-9D98-4ACA-9C40-9884A27DC859}"/>
  </w:font>
  <w:font w:name="Calibri Light">
    <w:panose1 w:val="020F0302020204030204"/>
    <w:charset w:val="00"/>
    <w:family w:val="swiss"/>
    <w:pitch w:val="variable"/>
    <w:sig w:usb0="E4002EFF" w:usb1="C200247B" w:usb2="00000009" w:usb3="00000000" w:csb0="000001FF" w:csb1="00000000"/>
    <w:embedRegular r:id="rId7" w:fontKey="{6456C916-DE46-4D9A-895A-268D1BDFF367}"/>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0E7D" w14:textId="054ACD24" w:rsidR="002C2024" w:rsidRDefault="007D0FAD">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Pr>
        <w:smallCaps/>
        <w:noProof/>
        <w:color w:val="006A66"/>
      </w:rPr>
      <w:t>1</w:t>
    </w:r>
    <w:r>
      <w:rPr>
        <w:smallCaps/>
        <w:color w:val="006A66"/>
      </w:rPr>
      <w:fldChar w:fldCharType="end"/>
    </w:r>
    <w:r>
      <w:rPr>
        <w:noProof/>
      </w:rPr>
      <mc:AlternateContent>
        <mc:Choice Requires="wps">
          <w:drawing>
            <wp:anchor distT="0" distB="0" distL="114300" distR="114300" simplePos="0" relativeHeight="251658241" behindDoc="0" locked="0" layoutInCell="1" hidden="0" allowOverlap="1" wp14:anchorId="352D0E81" wp14:editId="352D0E82">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w:pict>
            <v:shapetype w14:anchorId="14BCDD9F" id="_x0000_t32" coordsize="21600,21600" o:spt="32" o:oned="t" path="m,l21600,21600e" filled="f">
              <v:path arrowok="t" fillok="f" o:connecttype="none"/>
              <o:lock v:ext="edit" shapetype="t"/>
            </v:shapetype>
            <v:shape id="Straight Arrow Connector 7" o:spid="_x0000_s1026" type="#_x0000_t32" style="position:absolute;margin-left:267.55pt;margin-top:13pt;width:0;height: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" strokecolor="#006a66">
              <v:stroke startarrowwidth="narrow" startarrowlength="short" endarrowwidth="narrow" endarrowlength="short" joinstyle="miter"/>
            </v:shape>
          </w:pict>
        </mc:Fallback>
      </mc:AlternateContent>
    </w:r>
  </w:p>
  <w:p w14:paraId="352D0E7E" w14:textId="77777777" w:rsidR="002C2024" w:rsidRDefault="002C202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FD461" w14:textId="77777777" w:rsidR="00706E7D" w:rsidRDefault="00706E7D">
      <w:pPr>
        <w:spacing w:before="0" w:after="0"/>
      </w:pPr>
      <w:r>
        <w:separator/>
      </w:r>
    </w:p>
  </w:footnote>
  <w:footnote w:type="continuationSeparator" w:id="0">
    <w:p w14:paraId="73F61693" w14:textId="77777777" w:rsidR="00706E7D" w:rsidRDefault="00706E7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0E7C" w14:textId="77777777" w:rsidR="002C2024" w:rsidRDefault="007D0FAD">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352D0E7F" wp14:editId="352D0E80">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F1B98"/>
    <w:multiLevelType w:val="hybridMultilevel"/>
    <w:tmpl w:val="BED2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95934"/>
    <w:multiLevelType w:val="multilevel"/>
    <w:tmpl w:val="5B7883A6"/>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055907"/>
    <w:multiLevelType w:val="multilevel"/>
    <w:tmpl w:val="7D361A74"/>
    <w:lvl w:ilvl="0">
      <w:start w:val="1"/>
      <w:numFmt w:val="bullet"/>
      <w:lvlText w:val=""/>
      <w:lvlJc w:val="left"/>
      <w:pPr>
        <w:ind w:left="720" w:hanging="1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1F3E7E"/>
    <w:multiLevelType w:val="hybridMultilevel"/>
    <w:tmpl w:val="6E7C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55B5D"/>
    <w:multiLevelType w:val="hybridMultilevel"/>
    <w:tmpl w:val="84D8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782345"/>
    <w:multiLevelType w:val="hybridMultilevel"/>
    <w:tmpl w:val="924A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A67118"/>
    <w:multiLevelType w:val="multilevel"/>
    <w:tmpl w:val="F50A3C1A"/>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9DD5895"/>
    <w:multiLevelType w:val="multilevel"/>
    <w:tmpl w:val="29BA4ABE"/>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753EEB"/>
    <w:multiLevelType w:val="hybridMultilevel"/>
    <w:tmpl w:val="0A90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033093">
    <w:abstractNumId w:val="1"/>
  </w:num>
  <w:num w:numId="2" w16cid:durableId="98914742">
    <w:abstractNumId w:val="7"/>
  </w:num>
  <w:num w:numId="3" w16cid:durableId="437256997">
    <w:abstractNumId w:val="6"/>
  </w:num>
  <w:num w:numId="4" w16cid:durableId="1680693010">
    <w:abstractNumId w:val="0"/>
  </w:num>
  <w:num w:numId="5" w16cid:durableId="463890888">
    <w:abstractNumId w:val="5"/>
  </w:num>
  <w:num w:numId="6" w16cid:durableId="2031904889">
    <w:abstractNumId w:val="4"/>
  </w:num>
  <w:num w:numId="7" w16cid:durableId="1168984276">
    <w:abstractNumId w:val="3"/>
  </w:num>
  <w:num w:numId="8" w16cid:durableId="526260973">
    <w:abstractNumId w:val="2"/>
  </w:num>
  <w:num w:numId="9" w16cid:durableId="20864156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024"/>
    <w:rsid w:val="00040AB4"/>
    <w:rsid w:val="00085BA1"/>
    <w:rsid w:val="000C3304"/>
    <w:rsid w:val="00103072"/>
    <w:rsid w:val="00161466"/>
    <w:rsid w:val="001A2F47"/>
    <w:rsid w:val="001A7DA5"/>
    <w:rsid w:val="001D09C0"/>
    <w:rsid w:val="0022717E"/>
    <w:rsid w:val="00266B52"/>
    <w:rsid w:val="00281994"/>
    <w:rsid w:val="00296D2E"/>
    <w:rsid w:val="002C2024"/>
    <w:rsid w:val="002D75A6"/>
    <w:rsid w:val="002E1EA1"/>
    <w:rsid w:val="002E6403"/>
    <w:rsid w:val="0033139E"/>
    <w:rsid w:val="00344176"/>
    <w:rsid w:val="003D6F15"/>
    <w:rsid w:val="004605E5"/>
    <w:rsid w:val="00466BF6"/>
    <w:rsid w:val="004A1843"/>
    <w:rsid w:val="004B1735"/>
    <w:rsid w:val="004B2555"/>
    <w:rsid w:val="004B2665"/>
    <w:rsid w:val="004C0026"/>
    <w:rsid w:val="004E521D"/>
    <w:rsid w:val="00583869"/>
    <w:rsid w:val="005E7930"/>
    <w:rsid w:val="0062299D"/>
    <w:rsid w:val="006530D4"/>
    <w:rsid w:val="006C36A2"/>
    <w:rsid w:val="006C431B"/>
    <w:rsid w:val="00706E7D"/>
    <w:rsid w:val="00741E6F"/>
    <w:rsid w:val="00753C6F"/>
    <w:rsid w:val="00767DD6"/>
    <w:rsid w:val="007D0FAD"/>
    <w:rsid w:val="007D428E"/>
    <w:rsid w:val="007F7AEA"/>
    <w:rsid w:val="008150B6"/>
    <w:rsid w:val="008328E7"/>
    <w:rsid w:val="00841D3A"/>
    <w:rsid w:val="008670D2"/>
    <w:rsid w:val="008757CA"/>
    <w:rsid w:val="008C3160"/>
    <w:rsid w:val="008C563D"/>
    <w:rsid w:val="008E6BBA"/>
    <w:rsid w:val="00905DE2"/>
    <w:rsid w:val="009337DC"/>
    <w:rsid w:val="009369FF"/>
    <w:rsid w:val="00940CCD"/>
    <w:rsid w:val="009546DE"/>
    <w:rsid w:val="00976E17"/>
    <w:rsid w:val="00991EFA"/>
    <w:rsid w:val="009C59DB"/>
    <w:rsid w:val="009D07BE"/>
    <w:rsid w:val="009E7752"/>
    <w:rsid w:val="00A405BD"/>
    <w:rsid w:val="00A428BD"/>
    <w:rsid w:val="00A45F8E"/>
    <w:rsid w:val="00A8700D"/>
    <w:rsid w:val="00A96127"/>
    <w:rsid w:val="00AB0B5E"/>
    <w:rsid w:val="00AB1F58"/>
    <w:rsid w:val="00B30E9D"/>
    <w:rsid w:val="00B32DD7"/>
    <w:rsid w:val="00B726FB"/>
    <w:rsid w:val="00B85592"/>
    <w:rsid w:val="00BC5882"/>
    <w:rsid w:val="00BE115D"/>
    <w:rsid w:val="00C53520"/>
    <w:rsid w:val="00C54715"/>
    <w:rsid w:val="00C771CA"/>
    <w:rsid w:val="00CC4B05"/>
    <w:rsid w:val="00CD36E7"/>
    <w:rsid w:val="00D3518A"/>
    <w:rsid w:val="00D36389"/>
    <w:rsid w:val="00D60D72"/>
    <w:rsid w:val="00D61BEC"/>
    <w:rsid w:val="00D80E82"/>
    <w:rsid w:val="00DA399E"/>
    <w:rsid w:val="00DC7C5D"/>
    <w:rsid w:val="00DE1E0F"/>
    <w:rsid w:val="00DE6AF9"/>
    <w:rsid w:val="00E06E57"/>
    <w:rsid w:val="00E078F6"/>
    <w:rsid w:val="00E525BB"/>
    <w:rsid w:val="00E55900"/>
    <w:rsid w:val="00E927BB"/>
    <w:rsid w:val="00EA7954"/>
    <w:rsid w:val="00EB14CD"/>
    <w:rsid w:val="00EC2E7C"/>
    <w:rsid w:val="00EC40AE"/>
    <w:rsid w:val="00EF6174"/>
    <w:rsid w:val="00F31F52"/>
    <w:rsid w:val="00F42484"/>
    <w:rsid w:val="00F71649"/>
    <w:rsid w:val="00F732A5"/>
    <w:rsid w:val="00F83100"/>
    <w:rsid w:val="00FD7203"/>
    <w:rsid w:val="00FF3350"/>
    <w:rsid w:val="02C08B5C"/>
    <w:rsid w:val="04B3263A"/>
    <w:rsid w:val="089775CF"/>
    <w:rsid w:val="0E556CEF"/>
    <w:rsid w:val="1738EC14"/>
    <w:rsid w:val="17907FB4"/>
    <w:rsid w:val="18F72CA7"/>
    <w:rsid w:val="2D66A017"/>
    <w:rsid w:val="5275E697"/>
    <w:rsid w:val="5D086CF5"/>
    <w:rsid w:val="64B37EB2"/>
    <w:rsid w:val="681FD11E"/>
    <w:rsid w:val="750E56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D0E45"/>
  <w15:docId w15:val="{A5B4324B-4CC7-4DD2-9A4F-265A4C3B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CC4B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8B7205F249D4E9B992FEA4869DDCF" ma:contentTypeVersion="40" ma:contentTypeDescription="Create a new document." ma:contentTypeScope="" ma:versionID="1b0c28dfa941c9c7bea8ed854ac54ad9">
  <xsd:schema xmlns:xsd="http://www.w3.org/2001/XMLSchema" xmlns:xs="http://www.w3.org/2001/XMLSchema" xmlns:p="http://schemas.microsoft.com/office/2006/metadata/properties" xmlns:ns2="ca717dfb-b23d-4791-9627-5bcaf166df5d" xmlns:ns3="cf9144f3-d197-4f2f-8075-bb23bc46f8ac" targetNamespace="http://schemas.microsoft.com/office/2006/metadata/properties" ma:root="true" ma:fieldsID="9c7f472dcf2e892e823297da953698bd" ns2:_="" ns3:_="">
    <xsd:import namespace="ca717dfb-b23d-4791-9627-5bcaf166df5d"/>
    <xsd:import namespace="cf9144f3-d197-4f2f-8075-bb23bc46f8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17dfb-b23d-4791-9627-5bcaf166d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32b82f-ee1f-4246-9d44-c1f8cdfbe54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144f3-d197-4f2f-8075-bb23bc46f8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1bee15-a9fd-47a7-8233-3d936fa4dece}" ma:internalName="TaxCatchAll" ma:showField="CatchAllData" ma:web="cf9144f3-d197-4f2f-8075-bb23bc46f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rchiverLinkFileType xmlns="ca717dfb-b23d-4791-9627-5bcaf166df5d" xsi:nil="true"/>
    <lcf76f155ced4ddcb4097134ff3c332f xmlns="ca717dfb-b23d-4791-9627-5bcaf166df5d">
      <Terms xmlns="http://schemas.microsoft.com/office/infopath/2007/PartnerControls"/>
    </lcf76f155ced4ddcb4097134ff3c332f>
    <TaxCatchAll xmlns="cf9144f3-d197-4f2f-8075-bb23bc46f8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Props1.xml><?xml version="1.0" encoding="utf-8"?>
<ds:datastoreItem xmlns:ds="http://schemas.openxmlformats.org/officeDocument/2006/customXml" ds:itemID="{74F44F03-ECAC-45B1-8560-77F84F204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17dfb-b23d-4791-9627-5bcaf166df5d"/>
    <ds:schemaRef ds:uri="cf9144f3-d197-4f2f-8075-bb23bc46f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B2B9D5-A7E4-4D60-8A55-B357CB8A3EAD}">
  <ds:schemaRefs>
    <ds:schemaRef ds:uri="cf9144f3-d197-4f2f-8075-bb23bc46f8ac"/>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ca717dfb-b23d-4791-9627-5bcaf166df5d"/>
  </ds:schemaRefs>
</ds:datastoreItem>
</file>

<file path=customXml/itemProps3.xml><?xml version="1.0" encoding="utf-8"?>
<ds:datastoreItem xmlns:ds="http://schemas.openxmlformats.org/officeDocument/2006/customXml" ds:itemID="{2DADD591-3BC6-45C9-9438-BE0D765C3A4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1041</Words>
  <Characters>6116</Characters>
  <Application>Microsoft Office Word</Application>
  <DocSecurity>0</DocSecurity>
  <Lines>152</Lines>
  <Paragraphs>73</Paragraphs>
  <ScaleCrop>false</ScaleCrop>
  <HeadingPairs>
    <vt:vector size="2" baseType="variant">
      <vt:variant>
        <vt:lpstr>Title</vt:lpstr>
      </vt:variant>
      <vt:variant>
        <vt:i4>1</vt:i4>
      </vt:variant>
    </vt:vector>
  </HeadingPairs>
  <TitlesOfParts>
    <vt:vector size="1" baseType="lpstr">
      <vt:lpstr/>
    </vt:vector>
  </TitlesOfParts>
  <Company>ILO</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Rodriguez, Pilar</cp:lastModifiedBy>
  <cp:revision>2</cp:revision>
  <dcterms:created xsi:type="dcterms:W3CDTF">2026-01-30T21:06:00Z</dcterms:created>
  <dcterms:modified xsi:type="dcterms:W3CDTF">2026-01-30T21:06:00Z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0x010100A5A8B7205F249D4E9B992FEA4869DDCF</vt:lpwstr>
  </property>
  <property fmtid="{D5CDD505-2E9C-101B-9397-08002B2CF9AE}" pid="3" name="MediaServiceImageTags">
    <vt:lpwstr/>
  </property>
</Properties>
</file>