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C6AD4" w14:textId="77777777" w:rsidR="00AA4EB0" w:rsidRPr="00963F6B" w:rsidRDefault="00B010E4">
      <w:pPr>
        <w:pStyle w:val="Heading1"/>
        <w:spacing w:before="0" w:after="0"/>
        <w:jc w:val="center"/>
        <w:rPr>
          <w:sz w:val="36"/>
          <w:szCs w:val="36"/>
          <w:lang w:val="fr-FR"/>
        </w:rPr>
      </w:pPr>
      <w:r w:rsidRPr="00963F6B">
        <w:rPr>
          <w:rFonts w:ascii="Calibri" w:eastAsia="Calibri" w:hAnsi="Calibri" w:cs="Calibri"/>
          <w:b w:val="0"/>
          <w:bCs w:val="0"/>
          <w:sz w:val="28"/>
          <w:szCs w:val="28"/>
          <w:lang w:val="fr-FR"/>
        </w:rPr>
        <w:t>Note conceptuelle pour un événement parallèle sur</w:t>
      </w:r>
    </w:p>
    <w:p w14:paraId="305C6AD5" w14:textId="2CA00BA5" w:rsidR="00AA4EB0" w:rsidRPr="00963F6B" w:rsidRDefault="00B010E4">
      <w:pPr>
        <w:pStyle w:val="Heading1"/>
        <w:spacing w:before="0" w:after="0"/>
        <w:jc w:val="center"/>
        <w:rPr>
          <w:color w:val="ED7D31"/>
          <w:sz w:val="40"/>
          <w:szCs w:val="40"/>
          <w:lang w:val="fr-FR"/>
        </w:rPr>
      </w:pPr>
      <w:r w:rsidRPr="00963F6B">
        <w:rPr>
          <w:color w:val="ED7D31"/>
          <w:sz w:val="40"/>
          <w:szCs w:val="40"/>
          <w:lang w:val="fr-FR"/>
        </w:rPr>
        <w:t>[</w:t>
      </w:r>
      <w:r w:rsidR="00C81964" w:rsidRPr="00963F6B">
        <w:rPr>
          <w:color w:val="ED7D31"/>
          <w:sz w:val="40"/>
          <w:szCs w:val="40"/>
          <w:lang w:val="fr-FR"/>
        </w:rPr>
        <w:t xml:space="preserve">Le travail </w:t>
      </w:r>
      <w:r w:rsidR="004D196D" w:rsidRPr="00963F6B">
        <w:rPr>
          <w:color w:val="ED7D31"/>
          <w:sz w:val="40"/>
          <w:szCs w:val="40"/>
          <w:lang w:val="fr-FR"/>
        </w:rPr>
        <w:t xml:space="preserve">domestique </w:t>
      </w:r>
      <w:r w:rsidR="00C81964" w:rsidRPr="00963F6B">
        <w:rPr>
          <w:color w:val="ED7D31"/>
          <w:sz w:val="40"/>
          <w:szCs w:val="40"/>
          <w:lang w:val="fr-FR"/>
        </w:rPr>
        <w:t xml:space="preserve">des enfants </w:t>
      </w:r>
      <w:r w:rsidR="00BF693D" w:rsidRPr="00963F6B">
        <w:rPr>
          <w:color w:val="ED7D31"/>
          <w:sz w:val="40"/>
          <w:szCs w:val="40"/>
          <w:lang w:val="fr-FR"/>
        </w:rPr>
        <w:t xml:space="preserve">dans le contexte de </w:t>
      </w:r>
      <w:r w:rsidR="00C81964" w:rsidRPr="00963F6B">
        <w:rPr>
          <w:color w:val="ED7D31"/>
          <w:sz w:val="40"/>
          <w:szCs w:val="40"/>
          <w:lang w:val="fr-FR"/>
        </w:rPr>
        <w:t xml:space="preserve">l'économie </w:t>
      </w:r>
      <w:r w:rsidR="009B0AD4" w:rsidRPr="00963F6B">
        <w:rPr>
          <w:color w:val="ED7D31"/>
          <w:sz w:val="40"/>
          <w:szCs w:val="40"/>
          <w:lang w:val="fr-FR"/>
        </w:rPr>
        <w:t xml:space="preserve">des </w:t>
      </w:r>
      <w:r w:rsidR="00C81964" w:rsidRPr="00963F6B">
        <w:rPr>
          <w:color w:val="ED7D31"/>
          <w:sz w:val="40"/>
          <w:szCs w:val="40"/>
          <w:lang w:val="fr-FR"/>
        </w:rPr>
        <w:t>soins</w:t>
      </w:r>
      <w:r w:rsidRPr="00963F6B">
        <w:rPr>
          <w:color w:val="ED7D31"/>
          <w:sz w:val="40"/>
          <w:szCs w:val="40"/>
          <w:lang w:val="fr-FR"/>
        </w:rPr>
        <w:t>]</w:t>
      </w:r>
    </w:p>
    <w:p w14:paraId="305C6AD6" w14:textId="77777777" w:rsidR="00AA4EB0" w:rsidRPr="00963F6B" w:rsidRDefault="00B010E4">
      <w:pPr>
        <w:pStyle w:val="Heading1"/>
        <w:spacing w:after="0"/>
        <w:jc w:val="center"/>
        <w:rPr>
          <w:rFonts w:ascii="Calibri" w:eastAsia="Calibri" w:hAnsi="Calibri" w:cs="Calibri"/>
          <w:b w:val="0"/>
          <w:bCs w:val="0"/>
          <w:sz w:val="28"/>
          <w:szCs w:val="28"/>
          <w:lang w:val="fr-FR"/>
        </w:rPr>
      </w:pPr>
      <w:proofErr w:type="gramStart"/>
      <w:r w:rsidRPr="00963F6B">
        <w:rPr>
          <w:rFonts w:ascii="Calibri" w:eastAsia="Calibri" w:hAnsi="Calibri" w:cs="Calibri"/>
          <w:b w:val="0"/>
          <w:bCs w:val="0"/>
          <w:sz w:val="28"/>
          <w:szCs w:val="28"/>
          <w:lang w:val="fr-FR"/>
        </w:rPr>
        <w:t>lors</w:t>
      </w:r>
      <w:proofErr w:type="gramEnd"/>
      <w:r w:rsidRPr="00963F6B">
        <w:rPr>
          <w:rFonts w:ascii="Calibri" w:eastAsia="Calibri" w:hAnsi="Calibri" w:cs="Calibri"/>
          <w:b w:val="0"/>
          <w:bCs w:val="0"/>
          <w:sz w:val="28"/>
          <w:szCs w:val="28"/>
          <w:lang w:val="fr-FR"/>
        </w:rPr>
        <w:t xml:space="preserve"> de la 6e Conférence mondiale sur l'élimination du travail des enfants, Marrakech, Maroc</w:t>
      </w:r>
    </w:p>
    <w:p w14:paraId="305C6AD7" w14:textId="627603D5" w:rsidR="00AA4EB0" w:rsidRPr="00963F6B" w:rsidRDefault="00B010E4">
      <w:pPr>
        <w:pStyle w:val="Heading1"/>
        <w:spacing w:after="0"/>
        <w:jc w:val="center"/>
        <w:rPr>
          <w:rFonts w:ascii="Calibri" w:eastAsia="Calibri" w:hAnsi="Calibri" w:cs="Calibri"/>
          <w:sz w:val="28"/>
          <w:szCs w:val="28"/>
          <w:lang w:val="fr-FR"/>
        </w:rPr>
      </w:pPr>
      <w:r w:rsidRPr="00963F6B">
        <w:rPr>
          <w:rFonts w:ascii="Calibri" w:eastAsia="Calibri" w:hAnsi="Calibri" w:cs="Calibri"/>
          <w:sz w:val="28"/>
          <w:szCs w:val="28"/>
          <w:lang w:val="fr-FR"/>
        </w:rPr>
        <w:t>[</w:t>
      </w:r>
      <w:r w:rsidR="00EA1EA0" w:rsidRPr="00963F6B">
        <w:rPr>
          <w:rFonts w:ascii="Calibri" w:eastAsia="Calibri" w:hAnsi="Calibri" w:cs="Calibri"/>
          <w:sz w:val="28"/>
          <w:szCs w:val="28"/>
          <w:lang w:val="fr-FR"/>
        </w:rPr>
        <w:t>10 février 2026</w:t>
      </w:r>
      <w:r w:rsidRPr="00963F6B">
        <w:rPr>
          <w:rFonts w:ascii="Calibri" w:eastAsia="Calibri" w:hAnsi="Calibri" w:cs="Calibri"/>
          <w:sz w:val="28"/>
          <w:szCs w:val="28"/>
          <w:lang w:val="fr-FR"/>
        </w:rPr>
        <w:t>] | [</w:t>
      </w:r>
      <w:r w:rsidR="00EA1EA0" w:rsidRPr="00963F6B">
        <w:rPr>
          <w:rFonts w:ascii="Calibri" w:eastAsia="Calibri" w:hAnsi="Calibri" w:cs="Calibri"/>
          <w:sz w:val="28"/>
          <w:szCs w:val="28"/>
          <w:lang w:val="fr-FR"/>
        </w:rPr>
        <w:t xml:space="preserve">14h30 </w:t>
      </w:r>
      <w:r w:rsidR="005E4BC2" w:rsidRPr="00963F6B">
        <w:rPr>
          <w:rFonts w:ascii="Calibri" w:eastAsia="Calibri" w:hAnsi="Calibri" w:cs="Calibri"/>
          <w:sz w:val="28"/>
          <w:szCs w:val="28"/>
          <w:lang w:val="fr-FR"/>
        </w:rPr>
        <w:t>–</w:t>
      </w:r>
      <w:r w:rsidR="0081028B" w:rsidRPr="00963F6B">
        <w:rPr>
          <w:rFonts w:ascii="Calibri" w:eastAsia="Calibri" w:hAnsi="Calibri" w:cs="Calibri"/>
          <w:sz w:val="28"/>
          <w:szCs w:val="28"/>
          <w:lang w:val="fr-FR"/>
        </w:rPr>
        <w:t xml:space="preserve"> 16h15</w:t>
      </w:r>
      <w:r w:rsidRPr="00963F6B">
        <w:rPr>
          <w:rFonts w:ascii="Calibri" w:eastAsia="Calibri" w:hAnsi="Calibri" w:cs="Calibri"/>
          <w:sz w:val="28"/>
          <w:szCs w:val="28"/>
          <w:lang w:val="fr-FR"/>
        </w:rPr>
        <w:t>] | [En ligne]</w:t>
      </w:r>
    </w:p>
    <w:p w14:paraId="5814F5E3" w14:textId="77777777" w:rsidR="00963F6B" w:rsidRDefault="00963F6B">
      <w:pPr>
        <w:rPr>
          <w:lang w:val="fr-FR"/>
        </w:rPr>
      </w:pPr>
    </w:p>
    <w:p w14:paraId="305C6AD8" w14:textId="5D030649" w:rsidR="00AA4EB0" w:rsidRPr="00963F6B" w:rsidRDefault="00963F6B" w:rsidP="00963F6B">
      <w:pPr>
        <w:shd w:val="clear" w:color="auto" w:fill="E7E6E6" w:themeFill="background2"/>
        <w:jc w:val="center"/>
        <w:rPr>
          <w:lang w:val="fr-FR"/>
        </w:rPr>
      </w:pPr>
      <w:r w:rsidRPr="00963F6B">
        <w:rPr>
          <w:lang w:val="fr-FR"/>
        </w:rPr>
        <w:t>Traduction non officielle. Document original en espagnol.</w:t>
      </w:r>
    </w:p>
    <w:p w14:paraId="305C6ADA" w14:textId="77777777" w:rsidR="00AA4EB0" w:rsidRDefault="00B010E4">
      <w:pPr>
        <w:pStyle w:val="Heading2"/>
        <w:numPr>
          <w:ilvl w:val="0"/>
          <w:numId w:val="1"/>
        </w:numPr>
        <w:ind w:left="567" w:hanging="425"/>
        <w:rPr>
          <w:color w:val="ED7D31"/>
          <w:sz w:val="36"/>
          <w:szCs w:val="36"/>
        </w:rPr>
      </w:pPr>
      <w:r>
        <w:rPr>
          <w:color w:val="ED7D31"/>
          <w:sz w:val="36"/>
          <w:szCs w:val="36"/>
        </w:rPr>
        <w:t xml:space="preserve">Mots </w:t>
      </w:r>
      <w:proofErr w:type="spellStart"/>
      <w:r>
        <w:rPr>
          <w:color w:val="ED7D31"/>
          <w:sz w:val="36"/>
          <w:szCs w:val="36"/>
        </w:rPr>
        <w:t>clés</w:t>
      </w:r>
      <w:proofErr w:type="spellEnd"/>
    </w:p>
    <w:p w14:paraId="305C6ADB" w14:textId="2DE66CE6" w:rsidR="00AA4EB0" w:rsidRPr="00963F6B" w:rsidRDefault="00C81964">
      <w:pPr>
        <w:rPr>
          <w:color w:val="006A66"/>
          <w:sz w:val="28"/>
          <w:szCs w:val="28"/>
          <w:lang w:val="fr-FR"/>
        </w:rPr>
      </w:pPr>
      <w:r w:rsidRPr="00963F6B">
        <w:rPr>
          <w:color w:val="006A66"/>
          <w:sz w:val="28"/>
          <w:szCs w:val="28"/>
          <w:lang w:val="fr-FR"/>
        </w:rPr>
        <w:t xml:space="preserve">Économie </w:t>
      </w:r>
      <w:r w:rsidR="009B0AD4" w:rsidRPr="00963F6B">
        <w:rPr>
          <w:color w:val="006A66"/>
          <w:sz w:val="28"/>
          <w:szCs w:val="28"/>
          <w:lang w:val="fr-FR"/>
        </w:rPr>
        <w:t xml:space="preserve">des </w:t>
      </w:r>
      <w:r w:rsidRPr="00963F6B">
        <w:rPr>
          <w:color w:val="006A66"/>
          <w:sz w:val="28"/>
          <w:szCs w:val="28"/>
          <w:lang w:val="fr-FR"/>
        </w:rPr>
        <w:t xml:space="preserve">soins ; travail domestique </w:t>
      </w:r>
      <w:r w:rsidR="003E7977" w:rsidRPr="00963F6B">
        <w:rPr>
          <w:color w:val="006A66"/>
          <w:sz w:val="28"/>
          <w:szCs w:val="28"/>
          <w:lang w:val="fr-FR"/>
        </w:rPr>
        <w:t xml:space="preserve">des enfants </w:t>
      </w:r>
      <w:r w:rsidRPr="00963F6B">
        <w:rPr>
          <w:color w:val="006A66"/>
          <w:sz w:val="28"/>
          <w:szCs w:val="28"/>
          <w:lang w:val="fr-FR"/>
        </w:rPr>
        <w:t xml:space="preserve">; </w:t>
      </w:r>
      <w:r w:rsidR="000A0107" w:rsidRPr="00963F6B">
        <w:rPr>
          <w:color w:val="006A66"/>
          <w:sz w:val="28"/>
          <w:szCs w:val="28"/>
          <w:lang w:val="fr-FR"/>
        </w:rPr>
        <w:t xml:space="preserve">politiques </w:t>
      </w:r>
      <w:r w:rsidRPr="00963F6B">
        <w:rPr>
          <w:color w:val="006A66"/>
          <w:sz w:val="28"/>
          <w:szCs w:val="28"/>
          <w:lang w:val="fr-FR"/>
        </w:rPr>
        <w:t xml:space="preserve">de soins ; prévention </w:t>
      </w:r>
      <w:r w:rsidR="004D1B78" w:rsidRPr="00963F6B">
        <w:rPr>
          <w:color w:val="006A66"/>
          <w:sz w:val="28"/>
          <w:szCs w:val="28"/>
          <w:lang w:val="fr-FR"/>
        </w:rPr>
        <w:t xml:space="preserve">du travail des enfants </w:t>
      </w:r>
      <w:r w:rsidRPr="00963F6B">
        <w:rPr>
          <w:color w:val="006A66"/>
          <w:sz w:val="28"/>
          <w:szCs w:val="28"/>
          <w:lang w:val="fr-FR"/>
        </w:rPr>
        <w:t xml:space="preserve">; </w:t>
      </w:r>
      <w:r w:rsidR="00CF5A1A" w:rsidRPr="00963F6B">
        <w:rPr>
          <w:color w:val="006A66"/>
          <w:sz w:val="28"/>
          <w:szCs w:val="28"/>
          <w:lang w:val="fr-FR"/>
        </w:rPr>
        <w:t xml:space="preserve">travail </w:t>
      </w:r>
      <w:r w:rsidR="00230DD9" w:rsidRPr="00963F6B">
        <w:rPr>
          <w:color w:val="006A66"/>
          <w:sz w:val="28"/>
          <w:szCs w:val="28"/>
          <w:lang w:val="fr-FR"/>
        </w:rPr>
        <w:t xml:space="preserve">de soins </w:t>
      </w:r>
      <w:r w:rsidR="00314665" w:rsidRPr="00963F6B">
        <w:rPr>
          <w:color w:val="006A66"/>
          <w:sz w:val="28"/>
          <w:szCs w:val="28"/>
          <w:lang w:val="fr-FR"/>
        </w:rPr>
        <w:t>rémunéré et non rémunéré</w:t>
      </w:r>
    </w:p>
    <w:p w14:paraId="305C6ADD" w14:textId="522C10ED" w:rsidR="00AA4EB0" w:rsidRDefault="00B010E4">
      <w:pPr>
        <w:pStyle w:val="Heading2"/>
        <w:numPr>
          <w:ilvl w:val="0"/>
          <w:numId w:val="1"/>
        </w:numPr>
        <w:ind w:left="567" w:hanging="425"/>
        <w:rPr>
          <w:color w:val="ED7D31"/>
          <w:sz w:val="36"/>
          <w:szCs w:val="36"/>
        </w:rPr>
      </w:pPr>
      <w:proofErr w:type="spellStart"/>
      <w:r>
        <w:rPr>
          <w:color w:val="ED7D31"/>
          <w:sz w:val="36"/>
          <w:szCs w:val="36"/>
        </w:rPr>
        <w:t>Contexte</w:t>
      </w:r>
      <w:proofErr w:type="spellEnd"/>
      <w:r>
        <w:rPr>
          <w:color w:val="ED7D31"/>
          <w:sz w:val="36"/>
          <w:szCs w:val="36"/>
        </w:rPr>
        <w:t xml:space="preserve"> et justification</w:t>
      </w:r>
    </w:p>
    <w:p w14:paraId="144618B5" w14:textId="0C5774C9" w:rsidR="008303AC" w:rsidRPr="00963F6B" w:rsidRDefault="008303AC" w:rsidP="008303AC">
      <w:pPr>
        <w:pStyle w:val="NoSpacing"/>
        <w:rPr>
          <w:lang w:val="fr-FR"/>
        </w:rPr>
      </w:pPr>
      <w:r w:rsidRPr="00963F6B">
        <w:rPr>
          <w:lang w:val="fr-FR"/>
        </w:rPr>
        <w:t xml:space="preserve">Cet événement parallèle vise à donner une continuité et une dimension mondiale aux consensus </w:t>
      </w:r>
      <w:r w:rsidR="007F74B1" w:rsidRPr="00963F6B">
        <w:rPr>
          <w:lang w:val="fr-FR"/>
        </w:rPr>
        <w:t xml:space="preserve">issus des consultations </w:t>
      </w:r>
      <w:r w:rsidRPr="00963F6B">
        <w:rPr>
          <w:lang w:val="fr-FR"/>
        </w:rPr>
        <w:t xml:space="preserve">régionales, en positionnant le </w:t>
      </w:r>
      <w:r w:rsidRPr="00963F6B">
        <w:rPr>
          <w:b/>
          <w:bCs/>
          <w:lang w:val="fr-FR"/>
        </w:rPr>
        <w:t xml:space="preserve">travail domestique des enfants </w:t>
      </w:r>
      <w:r w:rsidR="009309D6" w:rsidRPr="00963F6B">
        <w:rPr>
          <w:b/>
          <w:bCs/>
          <w:lang w:val="fr-FR"/>
        </w:rPr>
        <w:t xml:space="preserve">dans le contexte de l'économie des soins </w:t>
      </w:r>
      <w:r w:rsidRPr="00963F6B">
        <w:rPr>
          <w:lang w:val="fr-FR"/>
        </w:rPr>
        <w:t>comme un axe stratégique pour renforcer les approches de prévention du travail des enfants et enrichir les débats et les résultats de la Conférence.</w:t>
      </w:r>
    </w:p>
    <w:p w14:paraId="42793825" w14:textId="2DF06EDA" w:rsidR="00E70F87" w:rsidRPr="00963F6B" w:rsidRDefault="00882EF0" w:rsidP="00E70F87">
      <w:pPr>
        <w:pStyle w:val="NoSpacing"/>
        <w:rPr>
          <w:lang w:val="fr-FR"/>
        </w:rPr>
      </w:pPr>
      <w:r>
        <w:rPr>
          <w:rStyle w:val="FootnoteReference"/>
          <w:lang w:val="es-ES"/>
        </w:rPr>
        <w:footnoteReference w:id="1"/>
      </w:r>
      <w:r w:rsidR="00E70F87" w:rsidRPr="00963F6B">
        <w:rPr>
          <w:lang w:val="fr-FR"/>
        </w:rPr>
        <w:t xml:space="preserve">Le travail domestique des enfants reste une réalité complexe et persistante, étroitement liée </w:t>
      </w:r>
      <w:r w:rsidR="00823897" w:rsidRPr="00963F6B">
        <w:rPr>
          <w:lang w:val="fr-FR"/>
        </w:rPr>
        <w:t xml:space="preserve">aux rôles </w:t>
      </w:r>
      <w:r w:rsidR="00E70F87" w:rsidRPr="00963F6B">
        <w:rPr>
          <w:lang w:val="fr-FR"/>
        </w:rPr>
        <w:t xml:space="preserve">de genre et </w:t>
      </w:r>
      <w:r w:rsidR="00CA05B4" w:rsidRPr="00963F6B">
        <w:rPr>
          <w:lang w:val="fr-FR"/>
        </w:rPr>
        <w:t xml:space="preserve">à </w:t>
      </w:r>
      <w:r w:rsidR="00823897" w:rsidRPr="00963F6B">
        <w:rPr>
          <w:lang w:val="fr-FR"/>
        </w:rPr>
        <w:t xml:space="preserve">une </w:t>
      </w:r>
      <w:r w:rsidR="00E70F87" w:rsidRPr="00963F6B">
        <w:rPr>
          <w:lang w:val="fr-FR"/>
        </w:rPr>
        <w:t xml:space="preserve">organisation sociale </w:t>
      </w:r>
      <w:r w:rsidR="00823897" w:rsidRPr="00963F6B">
        <w:rPr>
          <w:lang w:val="fr-FR"/>
        </w:rPr>
        <w:t xml:space="preserve">injuste </w:t>
      </w:r>
      <w:r w:rsidR="00E70F87" w:rsidRPr="00963F6B">
        <w:rPr>
          <w:lang w:val="fr-FR"/>
        </w:rPr>
        <w:t xml:space="preserve">des soins </w:t>
      </w:r>
      <w:r w:rsidR="00AC4697" w:rsidRPr="00963F6B">
        <w:rPr>
          <w:lang w:val="fr-FR"/>
        </w:rPr>
        <w:t xml:space="preserve">qui </w:t>
      </w:r>
      <w:r w:rsidR="00CA05B4" w:rsidRPr="00963F6B">
        <w:rPr>
          <w:lang w:val="fr-FR"/>
        </w:rPr>
        <w:t>surcharge les femmes</w:t>
      </w:r>
      <w:r w:rsidR="00E70F87" w:rsidRPr="00963F6B">
        <w:rPr>
          <w:lang w:val="fr-FR"/>
        </w:rPr>
        <w:t xml:space="preserve">. Dans la plupart des pays, les filles </w:t>
      </w:r>
      <w:r w:rsidR="002E381E" w:rsidRPr="00963F6B">
        <w:rPr>
          <w:lang w:val="fr-FR"/>
        </w:rPr>
        <w:t xml:space="preserve">et les adolescentes </w:t>
      </w:r>
      <w:r w:rsidR="00E70F87" w:rsidRPr="00963F6B">
        <w:rPr>
          <w:lang w:val="fr-FR"/>
        </w:rPr>
        <w:t xml:space="preserve">assument une part disproportionnée du travail domestique et </w:t>
      </w:r>
      <w:r w:rsidR="002E381E" w:rsidRPr="00963F6B">
        <w:rPr>
          <w:lang w:val="fr-FR"/>
        </w:rPr>
        <w:t xml:space="preserve">des </w:t>
      </w:r>
      <w:r w:rsidR="00E70F87" w:rsidRPr="00963F6B">
        <w:rPr>
          <w:lang w:val="fr-FR"/>
        </w:rPr>
        <w:t>soins non rémunérés au sein des foyers, ainsi que du travail domestique rémunéré dans les foyers de tiers. Ces activités restent souvent invisibles dans les statistiques officielles et hors de portée des politiques publiques, même si, lorsqu'elles impliquent de longues journées de travail, des tâches dangereuses ou des responsabilités qui interfèrent avec l'éducation, la santé et le développement personnel, elles constituent des formes de travail domestique des enfants.</w:t>
      </w:r>
    </w:p>
    <w:p w14:paraId="57629E00" w14:textId="7255579E" w:rsidR="00BE5184" w:rsidRPr="00963F6B" w:rsidRDefault="00E70F87" w:rsidP="00BE5184">
      <w:pPr>
        <w:pStyle w:val="NoSpacing"/>
        <w:rPr>
          <w:lang w:val="fr-FR"/>
        </w:rPr>
      </w:pPr>
      <w:r w:rsidRPr="00963F6B">
        <w:rPr>
          <w:lang w:val="fr-FR"/>
        </w:rPr>
        <w:t xml:space="preserve">L'économie des soins </w:t>
      </w:r>
      <w:r w:rsidR="00BE5184" w:rsidRPr="00963F6B">
        <w:rPr>
          <w:lang w:val="fr-FR"/>
        </w:rPr>
        <w:t xml:space="preserve">comprend </w:t>
      </w:r>
      <w:r w:rsidR="00BE5184" w:rsidRPr="00963F6B">
        <w:rPr>
          <w:i/>
          <w:iCs/>
          <w:lang w:val="fr-FR"/>
        </w:rPr>
        <w:t xml:space="preserve">le travail de soins, rémunéré ou non, les soins directs et indirects, leur prestation à l'intérieur et à l'extérieur du foyer, ainsi que </w:t>
      </w:r>
      <w:proofErr w:type="gramStart"/>
      <w:r w:rsidR="00BE5184" w:rsidRPr="00963F6B">
        <w:rPr>
          <w:i/>
          <w:iCs/>
          <w:lang w:val="fr-FR"/>
        </w:rPr>
        <w:lastRenderedPageBreak/>
        <w:t>les</w:t>
      </w:r>
      <w:proofErr w:type="gramEnd"/>
      <w:r w:rsidR="00BE5184" w:rsidRPr="00963F6B">
        <w:rPr>
          <w:i/>
          <w:iCs/>
          <w:lang w:val="fr-FR"/>
        </w:rPr>
        <w:t xml:space="preserve"> personnes qui fournissent et reçoivent des soins et les employeurs et institutions qui offrent des soins </w:t>
      </w:r>
      <w:r w:rsidR="00BE5184" w:rsidRPr="00963F6B">
        <w:rPr>
          <w:lang w:val="fr-FR"/>
        </w:rPr>
        <w:t>(résolution CIT 2024)</w:t>
      </w:r>
      <w:r w:rsidR="003C4D2C" w:rsidRPr="00963F6B">
        <w:rPr>
          <w:lang w:val="fr-FR"/>
        </w:rPr>
        <w:t xml:space="preserve">. </w:t>
      </w:r>
    </w:p>
    <w:p w14:paraId="4ADACAA1" w14:textId="3F0F85A5" w:rsidR="002A16FE" w:rsidRPr="00963F6B" w:rsidRDefault="002A16FE" w:rsidP="00E70F87">
      <w:pPr>
        <w:pStyle w:val="NoSpacing"/>
        <w:rPr>
          <w:lang w:val="fr-FR"/>
        </w:rPr>
      </w:pPr>
      <w:r w:rsidRPr="00963F6B">
        <w:rPr>
          <w:lang w:val="fr-FR"/>
        </w:rPr>
        <w:t>Dans de</w:t>
      </w:r>
      <w:r w:rsidR="00AD0855" w:rsidRPr="00963F6B">
        <w:rPr>
          <w:lang w:val="fr-FR"/>
        </w:rPr>
        <w:t xml:space="preserve"> nombreux </w:t>
      </w:r>
      <w:r w:rsidRPr="00963F6B">
        <w:rPr>
          <w:lang w:val="fr-FR"/>
        </w:rPr>
        <w:t>pays</w:t>
      </w:r>
      <w:r w:rsidR="00E70F87" w:rsidRPr="00963F6B">
        <w:rPr>
          <w:lang w:val="fr-FR"/>
        </w:rPr>
        <w:t xml:space="preserve">, elle se caractérise par une </w:t>
      </w:r>
      <w:r w:rsidR="00AD0855" w:rsidRPr="00963F6B">
        <w:rPr>
          <w:lang w:val="fr-FR"/>
        </w:rPr>
        <w:t xml:space="preserve">forte </w:t>
      </w:r>
      <w:r w:rsidR="00E70F87" w:rsidRPr="00963F6B">
        <w:rPr>
          <w:lang w:val="fr-FR"/>
        </w:rPr>
        <w:t xml:space="preserve">féminisation </w:t>
      </w:r>
      <w:r w:rsidR="00AD0855" w:rsidRPr="00963F6B">
        <w:rPr>
          <w:lang w:val="fr-FR"/>
        </w:rPr>
        <w:t>de la main-d'œuvre</w:t>
      </w:r>
      <w:r w:rsidR="00E70F87" w:rsidRPr="00963F6B">
        <w:rPr>
          <w:lang w:val="fr-FR"/>
        </w:rPr>
        <w:t>, des niveaux</w:t>
      </w:r>
      <w:r w:rsidR="00E9707B" w:rsidRPr="00963F6B">
        <w:rPr>
          <w:lang w:val="fr-FR"/>
        </w:rPr>
        <w:t xml:space="preserve"> élevés </w:t>
      </w:r>
      <w:r w:rsidR="00E70F87" w:rsidRPr="00963F6B">
        <w:rPr>
          <w:lang w:val="fr-FR"/>
        </w:rPr>
        <w:t>d'informalité et</w:t>
      </w:r>
      <w:r w:rsidR="00E16B9F" w:rsidRPr="00963F6B">
        <w:rPr>
          <w:lang w:val="fr-FR"/>
        </w:rPr>
        <w:t xml:space="preserve">, en général, </w:t>
      </w:r>
      <w:r w:rsidR="00E70F87" w:rsidRPr="00963F6B">
        <w:rPr>
          <w:lang w:val="fr-FR"/>
        </w:rPr>
        <w:t xml:space="preserve">une faible reconnaissance économique et sociale </w:t>
      </w:r>
      <w:r w:rsidR="00E16B9F" w:rsidRPr="00963F6B">
        <w:rPr>
          <w:lang w:val="fr-FR"/>
        </w:rPr>
        <w:t>liée à des préjugés structurels fondés sur le genre</w:t>
      </w:r>
      <w:r w:rsidR="00E70F87" w:rsidRPr="00963F6B">
        <w:rPr>
          <w:lang w:val="fr-FR"/>
        </w:rPr>
        <w:t xml:space="preserve">. </w:t>
      </w:r>
    </w:p>
    <w:p w14:paraId="25E146F5" w14:textId="408A8CBD" w:rsidR="00E70F87" w:rsidRPr="00963F6B" w:rsidRDefault="00E70F87" w:rsidP="00E70F87">
      <w:pPr>
        <w:pStyle w:val="NoSpacing"/>
        <w:rPr>
          <w:lang w:val="fr-FR"/>
        </w:rPr>
      </w:pPr>
      <w:r w:rsidRPr="00963F6B">
        <w:rPr>
          <w:lang w:val="fr-FR"/>
        </w:rPr>
        <w:t xml:space="preserve">Les limitations </w:t>
      </w:r>
      <w:r w:rsidR="002D4B84" w:rsidRPr="00963F6B">
        <w:rPr>
          <w:lang w:val="fr-FR"/>
        </w:rPr>
        <w:t xml:space="preserve">dans </w:t>
      </w:r>
      <w:r w:rsidR="00C422D6" w:rsidRPr="00963F6B">
        <w:rPr>
          <w:lang w:val="fr-FR"/>
        </w:rPr>
        <w:t xml:space="preserve">la fourniture et </w:t>
      </w:r>
      <w:r w:rsidRPr="00963F6B">
        <w:rPr>
          <w:lang w:val="fr-FR"/>
        </w:rPr>
        <w:t xml:space="preserve">l'accès à des services de soins accessibles et de qualité affectent tant les filles </w:t>
      </w:r>
      <w:r w:rsidR="00C422D6" w:rsidRPr="00963F6B">
        <w:rPr>
          <w:lang w:val="fr-FR"/>
        </w:rPr>
        <w:t>et les adolescentes</w:t>
      </w:r>
      <w:r w:rsidRPr="00963F6B">
        <w:rPr>
          <w:lang w:val="fr-FR"/>
        </w:rPr>
        <w:t xml:space="preserve">, en augmentant leur charge de travail </w:t>
      </w:r>
      <w:r w:rsidR="00AD0855" w:rsidRPr="00963F6B">
        <w:rPr>
          <w:lang w:val="fr-FR"/>
        </w:rPr>
        <w:t xml:space="preserve">non rémunéré </w:t>
      </w:r>
      <w:r w:rsidR="00CC63D1" w:rsidRPr="00963F6B">
        <w:rPr>
          <w:lang w:val="fr-FR"/>
        </w:rPr>
        <w:t>et l'absentéisme scolaire</w:t>
      </w:r>
      <w:r w:rsidRPr="00963F6B">
        <w:rPr>
          <w:lang w:val="fr-FR"/>
        </w:rPr>
        <w:t>, que les mères et les femmes adultes, dont les conditions de travail précaires peuvent renforcer les cycles intergénérationnels de pauvreté et de travail domestique des enfants.</w:t>
      </w:r>
    </w:p>
    <w:p w14:paraId="09891A21" w14:textId="37F3F82A" w:rsidR="004E0815" w:rsidRPr="00963F6B" w:rsidRDefault="00E70F87" w:rsidP="00E70F87">
      <w:pPr>
        <w:pStyle w:val="NoSpacing"/>
        <w:rPr>
          <w:lang w:val="fr-FR"/>
        </w:rPr>
      </w:pPr>
      <w:r w:rsidRPr="00963F6B">
        <w:rPr>
          <w:lang w:val="fr-FR"/>
        </w:rPr>
        <w:t xml:space="preserve">Dans ce contexte, l'événement parallèle « Le travail domestique des enfants dans le contexte de l'économie des soins » s'aligne sur les objectifs de la 6e Conférence mondiale sur l'éradication du travail des enfants, en proposant une vision élargie des stratégies de prévention et d'éradication du travail domestique des enfants. L'intégration des politiques de soins aux stratégies d'élimination du travail domestique des enfants représente une opportunité stratégique pour progresser simultanément dans la protection des </w:t>
      </w:r>
      <w:r w:rsidR="00591B05" w:rsidRPr="00963F6B">
        <w:rPr>
          <w:lang w:val="fr-FR"/>
        </w:rPr>
        <w:t xml:space="preserve">filles, l'insertion professionnelle des femmes adultes et </w:t>
      </w:r>
      <w:r w:rsidRPr="00963F6B">
        <w:rPr>
          <w:lang w:val="fr-FR"/>
        </w:rPr>
        <w:t xml:space="preserve">la promotion du travail décent et </w:t>
      </w:r>
      <w:r w:rsidR="00591B05" w:rsidRPr="00963F6B">
        <w:rPr>
          <w:lang w:val="fr-FR"/>
        </w:rPr>
        <w:t xml:space="preserve">de la justice </w:t>
      </w:r>
      <w:proofErr w:type="gramStart"/>
      <w:r w:rsidR="00591B05" w:rsidRPr="00963F6B">
        <w:rPr>
          <w:lang w:val="fr-FR"/>
        </w:rPr>
        <w:t xml:space="preserve">sociale </w:t>
      </w:r>
      <w:r w:rsidRPr="00963F6B">
        <w:rPr>
          <w:lang w:val="fr-FR"/>
        </w:rPr>
        <w:t>.</w:t>
      </w:r>
      <w:proofErr w:type="gramEnd"/>
    </w:p>
    <w:p w14:paraId="02470723" w14:textId="77777777" w:rsidR="003B2E96" w:rsidRPr="00963F6B" w:rsidRDefault="003B2E96" w:rsidP="003B2E96">
      <w:pPr>
        <w:pStyle w:val="NoSpacing"/>
        <w:rPr>
          <w:lang w:val="fr-FR"/>
        </w:rPr>
      </w:pPr>
    </w:p>
    <w:p w14:paraId="305C6ADF" w14:textId="77777777" w:rsidR="00AA4EB0" w:rsidRDefault="00B010E4">
      <w:pPr>
        <w:pStyle w:val="Heading2"/>
        <w:numPr>
          <w:ilvl w:val="0"/>
          <w:numId w:val="1"/>
        </w:numPr>
        <w:ind w:left="567" w:hanging="283"/>
        <w:rPr>
          <w:color w:val="ED7D31"/>
          <w:sz w:val="36"/>
          <w:szCs w:val="36"/>
        </w:rPr>
      </w:pPr>
      <w:proofErr w:type="spellStart"/>
      <w:r>
        <w:rPr>
          <w:color w:val="ED7D31"/>
          <w:sz w:val="36"/>
          <w:szCs w:val="36"/>
        </w:rPr>
        <w:t>Objectifs</w:t>
      </w:r>
      <w:proofErr w:type="spellEnd"/>
      <w:r>
        <w:rPr>
          <w:color w:val="ED7D31"/>
          <w:sz w:val="36"/>
          <w:szCs w:val="36"/>
        </w:rPr>
        <w:t xml:space="preserve"> </w:t>
      </w:r>
      <w:proofErr w:type="spellStart"/>
      <w:r>
        <w:rPr>
          <w:color w:val="ED7D31"/>
          <w:sz w:val="36"/>
          <w:szCs w:val="36"/>
        </w:rPr>
        <w:t>clés</w:t>
      </w:r>
      <w:proofErr w:type="spellEnd"/>
    </w:p>
    <w:p w14:paraId="74E2388C" w14:textId="6742D597" w:rsidR="003D1E16" w:rsidRPr="00963F6B" w:rsidRDefault="004626D8" w:rsidP="004626D8">
      <w:pPr>
        <w:pStyle w:val="NoSpacing"/>
        <w:numPr>
          <w:ilvl w:val="0"/>
          <w:numId w:val="7"/>
        </w:numPr>
        <w:rPr>
          <w:lang w:val="fr-FR"/>
        </w:rPr>
      </w:pPr>
      <w:r w:rsidRPr="00963F6B">
        <w:rPr>
          <w:lang w:val="fr-FR"/>
        </w:rPr>
        <w:t xml:space="preserve">Mettre en lumière le travail domestique des enfants </w:t>
      </w:r>
      <w:r w:rsidR="00ED0161" w:rsidRPr="00963F6B">
        <w:rPr>
          <w:lang w:val="fr-FR"/>
        </w:rPr>
        <w:t xml:space="preserve">comme une forme spécifique et persistante de travail des enfants, en </w:t>
      </w:r>
      <w:r w:rsidRPr="00963F6B">
        <w:rPr>
          <w:lang w:val="fr-FR"/>
        </w:rPr>
        <w:t xml:space="preserve">particulier </w:t>
      </w:r>
      <w:r w:rsidR="003D1E16" w:rsidRPr="00963F6B">
        <w:rPr>
          <w:lang w:val="fr-FR"/>
        </w:rPr>
        <w:t xml:space="preserve">lorsqu'il touche les filles impliquées dans des tâches domestiques et de </w:t>
      </w:r>
      <w:r w:rsidR="002F3EBC" w:rsidRPr="00963F6B">
        <w:rPr>
          <w:lang w:val="fr-FR"/>
        </w:rPr>
        <w:t>soins</w:t>
      </w:r>
      <w:r w:rsidR="003D1E16" w:rsidRPr="00963F6B">
        <w:rPr>
          <w:lang w:val="fr-FR"/>
        </w:rPr>
        <w:t>, rémunérées ou non, qui sont souvent normalisées et invisibilisées.</w:t>
      </w:r>
    </w:p>
    <w:p w14:paraId="6FABB943" w14:textId="0B4A4954" w:rsidR="004626D8" w:rsidRPr="00963F6B" w:rsidRDefault="004626D8" w:rsidP="004626D8">
      <w:pPr>
        <w:pStyle w:val="NoSpacing"/>
        <w:numPr>
          <w:ilvl w:val="0"/>
          <w:numId w:val="7"/>
        </w:numPr>
        <w:rPr>
          <w:lang w:val="fr-FR"/>
        </w:rPr>
      </w:pPr>
      <w:r w:rsidRPr="00963F6B">
        <w:rPr>
          <w:lang w:val="fr-FR"/>
        </w:rPr>
        <w:t xml:space="preserve">Analyser les liens entre le travail domestique des enfants, le genre et </w:t>
      </w:r>
      <w:r w:rsidR="0016607B" w:rsidRPr="00963F6B">
        <w:rPr>
          <w:lang w:val="fr-FR"/>
        </w:rPr>
        <w:t xml:space="preserve">l'économie </w:t>
      </w:r>
      <w:r w:rsidR="008522B8" w:rsidRPr="00963F6B">
        <w:rPr>
          <w:lang w:val="fr-FR"/>
        </w:rPr>
        <w:t>des soins</w:t>
      </w:r>
      <w:r w:rsidRPr="00963F6B">
        <w:rPr>
          <w:lang w:val="fr-FR"/>
        </w:rPr>
        <w:t xml:space="preserve">, en soulignant comment l'absence de services de soins adéquats </w:t>
      </w:r>
      <w:r w:rsidR="00B60FA4" w:rsidRPr="00963F6B">
        <w:rPr>
          <w:lang w:val="fr-FR"/>
        </w:rPr>
        <w:t xml:space="preserve">peut accroître </w:t>
      </w:r>
      <w:r w:rsidRPr="00963F6B">
        <w:rPr>
          <w:lang w:val="fr-FR"/>
        </w:rPr>
        <w:t>les risques de reproduction du travail domestique des enfants.</w:t>
      </w:r>
    </w:p>
    <w:p w14:paraId="29EF2312" w14:textId="1DAC1A26" w:rsidR="004626D8" w:rsidRPr="00963F6B" w:rsidRDefault="004626D8" w:rsidP="004626D8">
      <w:pPr>
        <w:pStyle w:val="NoSpacing"/>
        <w:numPr>
          <w:ilvl w:val="0"/>
          <w:numId w:val="7"/>
        </w:numPr>
        <w:rPr>
          <w:lang w:val="fr-FR"/>
        </w:rPr>
      </w:pPr>
      <w:r w:rsidRPr="00963F6B">
        <w:rPr>
          <w:lang w:val="fr-FR"/>
        </w:rPr>
        <w:t xml:space="preserve">Souligner le rôle des politiques et des systèmes de soins comme outils clés de prévention </w:t>
      </w:r>
      <w:r w:rsidR="003D1E16" w:rsidRPr="00963F6B">
        <w:rPr>
          <w:lang w:val="fr-FR"/>
        </w:rPr>
        <w:t xml:space="preserve">structurelle </w:t>
      </w:r>
      <w:r w:rsidRPr="00963F6B">
        <w:rPr>
          <w:lang w:val="fr-FR"/>
        </w:rPr>
        <w:t>du travail domestique des enfants.</w:t>
      </w:r>
    </w:p>
    <w:p w14:paraId="56E416F0" w14:textId="5259029A" w:rsidR="006B171C" w:rsidRPr="00963F6B" w:rsidRDefault="004626D8" w:rsidP="004626D8">
      <w:pPr>
        <w:pStyle w:val="NoSpacing"/>
        <w:numPr>
          <w:ilvl w:val="0"/>
          <w:numId w:val="7"/>
        </w:numPr>
        <w:rPr>
          <w:lang w:val="fr-FR"/>
        </w:rPr>
      </w:pPr>
      <w:r w:rsidRPr="00963F6B">
        <w:rPr>
          <w:lang w:val="fr-FR"/>
        </w:rPr>
        <w:t xml:space="preserve">Promouvoir une approche intégrée qui articule les stratégies d'éradication du travail des enfants avec les politiques de soins, </w:t>
      </w:r>
      <w:r w:rsidR="006D27B8" w:rsidRPr="00963F6B">
        <w:rPr>
          <w:lang w:val="fr-FR"/>
        </w:rPr>
        <w:t xml:space="preserve">d'égalité, </w:t>
      </w:r>
      <w:r w:rsidRPr="00963F6B">
        <w:rPr>
          <w:lang w:val="fr-FR"/>
        </w:rPr>
        <w:t>d'emploi</w:t>
      </w:r>
      <w:r w:rsidR="006B171C" w:rsidRPr="00963F6B">
        <w:rPr>
          <w:lang w:val="fr-FR"/>
        </w:rPr>
        <w:t xml:space="preserve">, de formalisation du travail </w:t>
      </w:r>
      <w:r w:rsidRPr="00963F6B">
        <w:rPr>
          <w:lang w:val="fr-FR"/>
        </w:rPr>
        <w:t xml:space="preserve">et de protection sociale. </w:t>
      </w:r>
    </w:p>
    <w:p w14:paraId="56213A63" w14:textId="7FE6DE1E" w:rsidR="004626D8" w:rsidRPr="00963F6B" w:rsidRDefault="006B171C" w:rsidP="004626D8">
      <w:pPr>
        <w:pStyle w:val="NoSpacing"/>
        <w:numPr>
          <w:ilvl w:val="0"/>
          <w:numId w:val="7"/>
        </w:numPr>
        <w:rPr>
          <w:lang w:val="fr-FR"/>
        </w:rPr>
      </w:pPr>
      <w:r w:rsidRPr="00963F6B">
        <w:rPr>
          <w:lang w:val="fr-FR"/>
        </w:rPr>
        <w:lastRenderedPageBreak/>
        <w:t>Renforcer le rôle du dialogue social et de l'action coordonnée entre les gouvernements, les organisations d'employeurs et de travailleurs et la société civile afin d'aborder le travail domestique des enfants dans une perspective d'économie des soins.</w:t>
      </w:r>
    </w:p>
    <w:p w14:paraId="305C6AE1" w14:textId="77777777" w:rsidR="00AA4EB0" w:rsidRPr="006B171C" w:rsidRDefault="00B010E4">
      <w:pPr>
        <w:pStyle w:val="Heading2"/>
        <w:numPr>
          <w:ilvl w:val="0"/>
          <w:numId w:val="1"/>
        </w:numPr>
        <w:ind w:left="567" w:hanging="283"/>
        <w:rPr>
          <w:color w:val="ED7D31"/>
          <w:sz w:val="36"/>
          <w:szCs w:val="36"/>
          <w:lang w:val="es-ES"/>
        </w:rPr>
      </w:pPr>
      <w:proofErr w:type="spellStart"/>
      <w:r w:rsidRPr="006B171C">
        <w:rPr>
          <w:color w:val="ED7D31"/>
          <w:sz w:val="36"/>
          <w:szCs w:val="36"/>
          <w:lang w:val="es-ES"/>
        </w:rPr>
        <w:t>Résultats</w:t>
      </w:r>
      <w:proofErr w:type="spellEnd"/>
      <w:r w:rsidRPr="006B171C">
        <w:rPr>
          <w:color w:val="ED7D31"/>
          <w:sz w:val="36"/>
          <w:szCs w:val="36"/>
          <w:lang w:val="es-ES"/>
        </w:rPr>
        <w:t xml:space="preserve"> </w:t>
      </w:r>
      <w:proofErr w:type="spellStart"/>
      <w:r w:rsidRPr="006B171C">
        <w:rPr>
          <w:color w:val="ED7D31"/>
          <w:sz w:val="36"/>
          <w:szCs w:val="36"/>
          <w:lang w:val="es-ES"/>
        </w:rPr>
        <w:t>attendus</w:t>
      </w:r>
      <w:proofErr w:type="spellEnd"/>
      <w:r w:rsidRPr="006B171C">
        <w:rPr>
          <w:color w:val="ED7D31"/>
          <w:sz w:val="36"/>
          <w:szCs w:val="36"/>
          <w:lang w:val="es-ES"/>
        </w:rPr>
        <w:t xml:space="preserve"> et </w:t>
      </w:r>
      <w:proofErr w:type="spellStart"/>
      <w:r w:rsidRPr="006B171C">
        <w:rPr>
          <w:color w:val="ED7D31"/>
          <w:sz w:val="36"/>
          <w:szCs w:val="36"/>
          <w:lang w:val="es-ES"/>
        </w:rPr>
        <w:t>livrables</w:t>
      </w:r>
      <w:proofErr w:type="spellEnd"/>
    </w:p>
    <w:p w14:paraId="550544CC" w14:textId="77777777" w:rsidR="00B7237E" w:rsidRPr="00963F6B" w:rsidRDefault="00B7237E" w:rsidP="00B7237E">
      <w:pPr>
        <w:numPr>
          <w:ilvl w:val="0"/>
          <w:numId w:val="5"/>
        </w:numPr>
        <w:pBdr>
          <w:top w:val="nil"/>
          <w:left w:val="nil"/>
          <w:bottom w:val="nil"/>
          <w:right w:val="nil"/>
          <w:between w:val="nil"/>
        </w:pBdr>
        <w:spacing w:line="264" w:lineRule="auto"/>
        <w:jc w:val="left"/>
        <w:rPr>
          <w:color w:val="006A66"/>
          <w:sz w:val="28"/>
          <w:szCs w:val="28"/>
          <w:lang w:val="fr-FR"/>
        </w:rPr>
      </w:pPr>
      <w:r w:rsidRPr="00963F6B">
        <w:rPr>
          <w:color w:val="006A66"/>
          <w:sz w:val="28"/>
          <w:szCs w:val="28"/>
          <w:lang w:val="fr-FR"/>
        </w:rPr>
        <w:t>Sensibilisation et compréhension accrues des participants à la conférence sur le travail domestique des enfants dans l'économie des soins.</w:t>
      </w:r>
    </w:p>
    <w:p w14:paraId="462D1F46" w14:textId="77777777" w:rsidR="00B7237E" w:rsidRPr="00963F6B" w:rsidRDefault="00B7237E" w:rsidP="00B7237E">
      <w:pPr>
        <w:numPr>
          <w:ilvl w:val="0"/>
          <w:numId w:val="5"/>
        </w:numPr>
        <w:pBdr>
          <w:top w:val="nil"/>
          <w:left w:val="nil"/>
          <w:bottom w:val="nil"/>
          <w:right w:val="nil"/>
          <w:between w:val="nil"/>
        </w:pBdr>
        <w:spacing w:line="264" w:lineRule="auto"/>
        <w:jc w:val="left"/>
        <w:rPr>
          <w:color w:val="006A66"/>
          <w:sz w:val="28"/>
          <w:szCs w:val="28"/>
          <w:lang w:val="fr-FR"/>
        </w:rPr>
      </w:pPr>
      <w:r w:rsidRPr="00963F6B">
        <w:rPr>
          <w:color w:val="006A66"/>
          <w:sz w:val="28"/>
          <w:szCs w:val="28"/>
          <w:lang w:val="fr-FR"/>
        </w:rPr>
        <w:t>Identification des messages clés et des recommandations politiques pour intégrer l'économie des soins dans les stratégies de prévention et d'éradication du travail domestique des enfants.</w:t>
      </w:r>
    </w:p>
    <w:p w14:paraId="4C15A01D" w14:textId="77777777" w:rsidR="00B7237E" w:rsidRPr="00963F6B" w:rsidRDefault="00B7237E" w:rsidP="00B7237E">
      <w:pPr>
        <w:numPr>
          <w:ilvl w:val="0"/>
          <w:numId w:val="5"/>
        </w:numPr>
        <w:pBdr>
          <w:top w:val="nil"/>
          <w:left w:val="nil"/>
          <w:bottom w:val="nil"/>
          <w:right w:val="nil"/>
          <w:between w:val="nil"/>
        </w:pBdr>
        <w:spacing w:line="264" w:lineRule="auto"/>
        <w:jc w:val="left"/>
        <w:rPr>
          <w:color w:val="006A66"/>
          <w:sz w:val="28"/>
          <w:szCs w:val="28"/>
          <w:lang w:val="fr-FR"/>
        </w:rPr>
      </w:pPr>
      <w:r w:rsidRPr="00963F6B">
        <w:rPr>
          <w:color w:val="006A66"/>
          <w:sz w:val="28"/>
          <w:szCs w:val="28"/>
          <w:lang w:val="fr-FR"/>
        </w:rPr>
        <w:t>Échange d'expériences et de bonnes pratiques reliant les politiques de soins, l'égalité des sexes et l'élimination du travail domestique des enfants.</w:t>
      </w:r>
    </w:p>
    <w:p w14:paraId="74AC50A6" w14:textId="77777777" w:rsidR="00B7237E" w:rsidRPr="00963F6B" w:rsidRDefault="00B7237E" w:rsidP="00B7237E">
      <w:pPr>
        <w:numPr>
          <w:ilvl w:val="0"/>
          <w:numId w:val="5"/>
        </w:numPr>
        <w:pBdr>
          <w:top w:val="nil"/>
          <w:left w:val="nil"/>
          <w:bottom w:val="nil"/>
          <w:right w:val="nil"/>
          <w:between w:val="nil"/>
        </w:pBdr>
        <w:spacing w:line="264" w:lineRule="auto"/>
        <w:jc w:val="left"/>
        <w:rPr>
          <w:color w:val="006A66"/>
          <w:sz w:val="28"/>
          <w:szCs w:val="28"/>
          <w:lang w:val="fr-FR"/>
        </w:rPr>
      </w:pPr>
      <w:r w:rsidRPr="00963F6B">
        <w:rPr>
          <w:color w:val="006A66"/>
          <w:sz w:val="28"/>
          <w:szCs w:val="28"/>
          <w:lang w:val="fr-FR"/>
        </w:rPr>
        <w:t>Contributions substantielles aux débats et aux documents finaux de la conférence, en mettant l'accent sur la prévention et les approches intégrées des politiques publiques.</w:t>
      </w:r>
    </w:p>
    <w:p w14:paraId="380E6240" w14:textId="77777777" w:rsidR="00B7237E" w:rsidRPr="00963F6B" w:rsidRDefault="00B7237E">
      <w:pPr>
        <w:pBdr>
          <w:top w:val="nil"/>
          <w:left w:val="nil"/>
          <w:bottom w:val="nil"/>
          <w:right w:val="nil"/>
          <w:between w:val="nil"/>
        </w:pBdr>
        <w:spacing w:line="264" w:lineRule="auto"/>
        <w:jc w:val="left"/>
        <w:rPr>
          <w:color w:val="006A66"/>
          <w:sz w:val="28"/>
          <w:szCs w:val="28"/>
          <w:lang w:val="fr-FR"/>
        </w:rPr>
      </w:pPr>
    </w:p>
    <w:p w14:paraId="305C6AE9" w14:textId="77777777" w:rsidR="00AA4EB0" w:rsidRDefault="00B010E4">
      <w:pPr>
        <w:pStyle w:val="Heading2"/>
        <w:numPr>
          <w:ilvl w:val="0"/>
          <w:numId w:val="1"/>
        </w:numPr>
        <w:ind w:left="567" w:hanging="283"/>
        <w:rPr>
          <w:color w:val="ED7D31"/>
          <w:sz w:val="36"/>
          <w:szCs w:val="36"/>
        </w:rPr>
      </w:pPr>
      <w:r>
        <w:rPr>
          <w:color w:val="ED7D31"/>
          <w:sz w:val="36"/>
          <w:szCs w:val="36"/>
        </w:rPr>
        <w:t>Format de la session</w:t>
      </w:r>
    </w:p>
    <w:p w14:paraId="5EB289B5" w14:textId="7553550E" w:rsidR="00981B96" w:rsidRPr="00963F6B" w:rsidRDefault="00981B96" w:rsidP="00981B96">
      <w:pPr>
        <w:pStyle w:val="NoSpacing"/>
        <w:rPr>
          <w:lang w:val="fr-FR"/>
        </w:rPr>
      </w:pPr>
      <w:r w:rsidRPr="00963F6B">
        <w:rPr>
          <w:lang w:val="fr-FR"/>
        </w:rPr>
        <w:t xml:space="preserve">La session se déroulera sous la forme d'une table ronde, avec questions-réponses, d'une durée estimée à deux heures. L'approche sera principalement axée sur les politiques publiques, en favorisant les échanges entre les différents secteurs et acteurs. La langue principale sera l'espagnol, avec une interprétation disponible selon la confirmation du secrétariat de la conférence, via </w:t>
      </w:r>
      <w:r w:rsidR="008522B8" w:rsidRPr="00963F6B">
        <w:rPr>
          <w:lang w:val="fr-FR"/>
        </w:rPr>
        <w:t xml:space="preserve">l'application </w:t>
      </w:r>
      <w:proofErr w:type="spellStart"/>
      <w:r w:rsidR="001F3781" w:rsidRPr="00963F6B">
        <w:rPr>
          <w:lang w:val="fr-FR"/>
        </w:rPr>
        <w:t>Wordly</w:t>
      </w:r>
      <w:proofErr w:type="spellEnd"/>
      <w:r w:rsidR="001F3781" w:rsidRPr="00963F6B">
        <w:rPr>
          <w:lang w:val="fr-FR"/>
        </w:rPr>
        <w:t xml:space="preserve"> (lecture et audio).</w:t>
      </w:r>
    </w:p>
    <w:p w14:paraId="2239DB8E" w14:textId="77777777" w:rsidR="00981B96" w:rsidRPr="00963F6B" w:rsidRDefault="00981B96">
      <w:pPr>
        <w:pBdr>
          <w:top w:val="nil"/>
          <w:left w:val="nil"/>
          <w:bottom w:val="nil"/>
          <w:right w:val="nil"/>
          <w:between w:val="nil"/>
        </w:pBdr>
        <w:spacing w:line="264" w:lineRule="auto"/>
        <w:jc w:val="left"/>
        <w:rPr>
          <w:color w:val="006A66"/>
          <w:sz w:val="28"/>
          <w:szCs w:val="28"/>
          <w:lang w:val="fr-FR"/>
        </w:rPr>
      </w:pPr>
    </w:p>
    <w:p w14:paraId="305C6AEB" w14:textId="77777777" w:rsidR="00AA4EB0" w:rsidRDefault="00B010E4">
      <w:pPr>
        <w:pStyle w:val="Heading2"/>
        <w:numPr>
          <w:ilvl w:val="0"/>
          <w:numId w:val="1"/>
        </w:numPr>
        <w:ind w:left="567" w:hanging="283"/>
        <w:rPr>
          <w:color w:val="ED7D31"/>
          <w:sz w:val="36"/>
          <w:szCs w:val="36"/>
        </w:rPr>
      </w:pPr>
      <w:proofErr w:type="spellStart"/>
      <w:r>
        <w:rPr>
          <w:color w:val="ED7D31"/>
          <w:sz w:val="36"/>
          <w:szCs w:val="36"/>
        </w:rPr>
        <w:t>Intervenants</w:t>
      </w:r>
      <w:proofErr w:type="spellEnd"/>
      <w:r>
        <w:rPr>
          <w:color w:val="ED7D31"/>
          <w:sz w:val="36"/>
          <w:szCs w:val="36"/>
        </w:rPr>
        <w:t xml:space="preserve"> </w:t>
      </w:r>
      <w:proofErr w:type="spellStart"/>
      <w:r>
        <w:rPr>
          <w:color w:val="ED7D31"/>
          <w:sz w:val="36"/>
          <w:szCs w:val="36"/>
        </w:rPr>
        <w:t>proposés</w:t>
      </w:r>
      <w:proofErr w:type="spellEnd"/>
      <w:r>
        <w:rPr>
          <w:color w:val="ED7D31"/>
          <w:sz w:val="36"/>
          <w:szCs w:val="36"/>
        </w:rPr>
        <w:t xml:space="preserve"> et public cible</w:t>
      </w:r>
    </w:p>
    <w:p w14:paraId="17F3128A" w14:textId="77777777" w:rsidR="00132829" w:rsidRPr="00132829" w:rsidRDefault="00132829" w:rsidP="00132829">
      <w:pPr>
        <w:rPr>
          <w:color w:val="006A66"/>
          <w:sz w:val="28"/>
          <w:szCs w:val="28"/>
          <w:lang w:val="en-GB"/>
        </w:rPr>
      </w:pPr>
      <w:r w:rsidRPr="00132829">
        <w:rPr>
          <w:b/>
          <w:bCs/>
          <w:color w:val="006A66"/>
          <w:sz w:val="28"/>
          <w:szCs w:val="28"/>
          <w:lang w:val="en-GB"/>
        </w:rPr>
        <w:t>Intervenants (à confirmer) :</w:t>
      </w:r>
    </w:p>
    <w:p w14:paraId="631AF978" w14:textId="1F06E9B7" w:rsidR="00132829" w:rsidRPr="00963F6B" w:rsidRDefault="00132829" w:rsidP="00132829">
      <w:pPr>
        <w:numPr>
          <w:ilvl w:val="0"/>
          <w:numId w:val="6"/>
        </w:numPr>
        <w:rPr>
          <w:color w:val="006A66"/>
          <w:sz w:val="28"/>
          <w:szCs w:val="28"/>
          <w:lang w:val="fr-FR"/>
        </w:rPr>
      </w:pPr>
      <w:r w:rsidRPr="00963F6B">
        <w:rPr>
          <w:color w:val="006A66"/>
          <w:sz w:val="28"/>
          <w:szCs w:val="28"/>
          <w:lang w:val="fr-FR"/>
        </w:rPr>
        <w:t xml:space="preserve">Représentants gouvernementaux responsables des politiques en matière de soins et de travail domestique des enfants. </w:t>
      </w:r>
    </w:p>
    <w:p w14:paraId="1CE1596C" w14:textId="77777777" w:rsidR="00132829" w:rsidRPr="00963F6B" w:rsidRDefault="00132829" w:rsidP="00132829">
      <w:pPr>
        <w:numPr>
          <w:ilvl w:val="0"/>
          <w:numId w:val="6"/>
        </w:numPr>
        <w:rPr>
          <w:color w:val="006A66"/>
          <w:sz w:val="28"/>
          <w:szCs w:val="28"/>
          <w:lang w:val="fr-FR"/>
        </w:rPr>
      </w:pPr>
      <w:r w:rsidRPr="00963F6B">
        <w:rPr>
          <w:color w:val="006A66"/>
          <w:sz w:val="28"/>
          <w:szCs w:val="28"/>
          <w:lang w:val="fr-FR"/>
        </w:rPr>
        <w:t>Représentants d'organisations d'employeurs et de travailleurs.</w:t>
      </w:r>
    </w:p>
    <w:p w14:paraId="0C303C22" w14:textId="77777777" w:rsidR="00132829" w:rsidRPr="00963F6B" w:rsidRDefault="00132829" w:rsidP="00132829">
      <w:pPr>
        <w:numPr>
          <w:ilvl w:val="0"/>
          <w:numId w:val="6"/>
        </w:numPr>
        <w:rPr>
          <w:color w:val="006A66"/>
          <w:sz w:val="28"/>
          <w:szCs w:val="28"/>
          <w:lang w:val="fr-FR"/>
        </w:rPr>
      </w:pPr>
      <w:r w:rsidRPr="00963F6B">
        <w:rPr>
          <w:color w:val="006A66"/>
          <w:sz w:val="28"/>
          <w:szCs w:val="28"/>
          <w:lang w:val="fr-FR"/>
        </w:rPr>
        <w:lastRenderedPageBreak/>
        <w:t>Représentants d'organisations internationales et de la société civile ayant une expérience dans le domaine de l'économie des soins et du travail domestique des enfants.</w:t>
      </w:r>
    </w:p>
    <w:p w14:paraId="317FAB29" w14:textId="4170B1EF" w:rsidR="00132829" w:rsidRPr="00963F6B" w:rsidRDefault="00132829" w:rsidP="00132829">
      <w:pPr>
        <w:numPr>
          <w:ilvl w:val="0"/>
          <w:numId w:val="6"/>
        </w:numPr>
        <w:rPr>
          <w:color w:val="006A66"/>
          <w:sz w:val="28"/>
          <w:szCs w:val="28"/>
          <w:lang w:val="fr-FR"/>
        </w:rPr>
      </w:pPr>
      <w:r w:rsidRPr="00963F6B">
        <w:rPr>
          <w:color w:val="006A66"/>
          <w:sz w:val="28"/>
          <w:szCs w:val="28"/>
          <w:lang w:val="fr-FR"/>
        </w:rPr>
        <w:t>Experts en travail domestique et politiques de prise en charge.</w:t>
      </w:r>
    </w:p>
    <w:p w14:paraId="5FAF7F77" w14:textId="718A42BE" w:rsidR="00353691" w:rsidRPr="00963F6B" w:rsidRDefault="00B803FC" w:rsidP="00B803FC">
      <w:pPr>
        <w:pStyle w:val="NoSpacing"/>
        <w:rPr>
          <w:lang w:val="fr-FR"/>
        </w:rPr>
      </w:pPr>
      <w:r w:rsidRPr="00963F6B">
        <w:rPr>
          <w:b/>
          <w:bCs/>
          <w:lang w:val="fr-FR"/>
        </w:rPr>
        <w:t xml:space="preserve">Public cible : </w:t>
      </w:r>
      <w:r w:rsidRPr="00963F6B">
        <w:rPr>
          <w:lang w:val="fr-FR"/>
        </w:rPr>
        <w:t>Responsables des politiques publiques, partenaires sociaux, organisations de la société civile, organismes internationaux, milieu universitaire et autres acteurs impliqués dans l'éradication du travail domestique des enfants et la conception de politiques de prise en charge.</w:t>
      </w:r>
    </w:p>
    <w:p w14:paraId="305C6AED" w14:textId="77777777" w:rsidR="00AA4EB0" w:rsidRDefault="00B010E4">
      <w:pPr>
        <w:pStyle w:val="Heading2"/>
        <w:numPr>
          <w:ilvl w:val="0"/>
          <w:numId w:val="1"/>
        </w:numPr>
        <w:ind w:left="567" w:hanging="283"/>
        <w:rPr>
          <w:color w:val="ED7D31"/>
          <w:sz w:val="36"/>
          <w:szCs w:val="36"/>
        </w:rPr>
      </w:pPr>
      <w:proofErr w:type="spellStart"/>
      <w:r>
        <w:rPr>
          <w:color w:val="ED7D31"/>
          <w:sz w:val="36"/>
          <w:szCs w:val="36"/>
        </w:rPr>
        <w:t>Déroulement</w:t>
      </w:r>
      <w:proofErr w:type="spellEnd"/>
      <w:r>
        <w:rPr>
          <w:color w:val="ED7D31"/>
          <w:sz w:val="36"/>
          <w:szCs w:val="36"/>
        </w:rPr>
        <w:t xml:space="preserve"> de la session</w:t>
      </w:r>
    </w:p>
    <w:p w14:paraId="305C6AEF" w14:textId="7FCD1191" w:rsidR="00AA4EB0" w:rsidRDefault="00AA4EB0">
      <w:pPr>
        <w:pBdr>
          <w:top w:val="nil"/>
          <w:left w:val="nil"/>
          <w:bottom w:val="nil"/>
          <w:right w:val="nil"/>
          <w:between w:val="nil"/>
        </w:pBdr>
        <w:spacing w:line="264" w:lineRule="auto"/>
        <w:jc w:val="left"/>
        <w:rPr>
          <w:color w:val="006A66"/>
          <w:sz w:val="28"/>
          <w:szCs w:val="28"/>
        </w:rPr>
      </w:pPr>
    </w:p>
    <w:tbl>
      <w:tblPr>
        <w:tblStyle w:val="a"/>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3"/>
        <w:gridCol w:w="1990"/>
        <w:gridCol w:w="2126"/>
        <w:gridCol w:w="2835"/>
      </w:tblGrid>
      <w:tr w:rsidR="00AA4EB0" w14:paraId="305C6AF4" w14:textId="77777777" w:rsidTr="00260908">
        <w:tc>
          <w:tcPr>
            <w:tcW w:w="1833" w:type="dxa"/>
            <w:tcBorders>
              <w:bottom w:val="single" w:sz="4" w:space="0" w:color="000000"/>
            </w:tcBorders>
          </w:tcPr>
          <w:p w14:paraId="305C6AF0" w14:textId="77777777" w:rsidR="00AA4EB0" w:rsidRDefault="00B010E4">
            <w:pPr>
              <w:pBdr>
                <w:top w:val="nil"/>
                <w:left w:val="nil"/>
                <w:bottom w:val="nil"/>
                <w:right w:val="nil"/>
                <w:between w:val="nil"/>
              </w:pBdr>
              <w:spacing w:line="264" w:lineRule="auto"/>
              <w:jc w:val="left"/>
              <w:rPr>
                <w:color w:val="006A66"/>
                <w:sz w:val="28"/>
                <w:szCs w:val="28"/>
              </w:rPr>
            </w:pPr>
            <w:r>
              <w:rPr>
                <w:color w:val="006A66"/>
                <w:sz w:val="28"/>
                <w:szCs w:val="28"/>
              </w:rPr>
              <w:t>Slot</w:t>
            </w:r>
          </w:p>
        </w:tc>
        <w:tc>
          <w:tcPr>
            <w:tcW w:w="1990" w:type="dxa"/>
            <w:tcBorders>
              <w:bottom w:val="single" w:sz="4" w:space="0" w:color="000000"/>
            </w:tcBorders>
          </w:tcPr>
          <w:p w14:paraId="305C6AF1" w14:textId="77777777" w:rsidR="00AA4EB0" w:rsidRDefault="00B010E4">
            <w:pPr>
              <w:pBdr>
                <w:top w:val="nil"/>
                <w:left w:val="nil"/>
                <w:bottom w:val="nil"/>
                <w:right w:val="nil"/>
                <w:between w:val="nil"/>
              </w:pBdr>
              <w:spacing w:line="264" w:lineRule="auto"/>
              <w:jc w:val="left"/>
              <w:rPr>
                <w:color w:val="006A66"/>
                <w:sz w:val="28"/>
                <w:szCs w:val="28"/>
              </w:rPr>
            </w:pPr>
            <w:r>
              <w:rPr>
                <w:color w:val="006A66"/>
                <w:sz w:val="28"/>
                <w:szCs w:val="28"/>
              </w:rPr>
              <w:t>Segment</w:t>
            </w:r>
          </w:p>
        </w:tc>
        <w:tc>
          <w:tcPr>
            <w:tcW w:w="2126" w:type="dxa"/>
            <w:tcBorders>
              <w:bottom w:val="single" w:sz="4" w:space="0" w:color="000000"/>
            </w:tcBorders>
          </w:tcPr>
          <w:p w14:paraId="305C6AF2" w14:textId="77777777" w:rsidR="00AA4EB0" w:rsidRDefault="00B010E4">
            <w:pPr>
              <w:pBdr>
                <w:top w:val="nil"/>
                <w:left w:val="nil"/>
                <w:bottom w:val="nil"/>
                <w:right w:val="nil"/>
                <w:between w:val="nil"/>
              </w:pBdr>
              <w:spacing w:line="264" w:lineRule="auto"/>
              <w:jc w:val="left"/>
              <w:rPr>
                <w:color w:val="006A66"/>
                <w:sz w:val="28"/>
                <w:szCs w:val="28"/>
              </w:rPr>
            </w:pPr>
            <w:r>
              <w:rPr>
                <w:color w:val="006A66"/>
                <w:sz w:val="28"/>
                <w:szCs w:val="28"/>
              </w:rPr>
              <w:t>Lead</w:t>
            </w:r>
          </w:p>
        </w:tc>
        <w:tc>
          <w:tcPr>
            <w:tcW w:w="2835" w:type="dxa"/>
            <w:tcBorders>
              <w:bottom w:val="single" w:sz="4" w:space="0" w:color="000000"/>
            </w:tcBorders>
          </w:tcPr>
          <w:p w14:paraId="305C6AF3" w14:textId="77777777" w:rsidR="00AA4EB0" w:rsidRDefault="00B010E4">
            <w:pPr>
              <w:pBdr>
                <w:top w:val="nil"/>
                <w:left w:val="nil"/>
                <w:bottom w:val="nil"/>
                <w:right w:val="nil"/>
                <w:between w:val="nil"/>
              </w:pBdr>
              <w:spacing w:line="264" w:lineRule="auto"/>
              <w:jc w:val="left"/>
              <w:rPr>
                <w:color w:val="006A66"/>
                <w:sz w:val="28"/>
                <w:szCs w:val="28"/>
              </w:rPr>
            </w:pPr>
            <w:r>
              <w:rPr>
                <w:color w:val="006A66"/>
                <w:sz w:val="28"/>
                <w:szCs w:val="28"/>
              </w:rPr>
              <w:t>Description / Notes</w:t>
            </w:r>
          </w:p>
        </w:tc>
      </w:tr>
      <w:tr w:rsidR="00AA4EB0" w:rsidRPr="00963F6B" w14:paraId="305C6AF9" w14:textId="77777777" w:rsidTr="00260908">
        <w:tc>
          <w:tcPr>
            <w:tcW w:w="1833" w:type="dxa"/>
            <w:tcBorders>
              <w:bottom w:val="single" w:sz="4" w:space="0" w:color="000000"/>
            </w:tcBorders>
          </w:tcPr>
          <w:p w14:paraId="305C6AF5" w14:textId="77777777" w:rsidR="00AA4EB0" w:rsidRDefault="00B010E4">
            <w:pPr>
              <w:pBdr>
                <w:top w:val="nil"/>
                <w:left w:val="nil"/>
                <w:bottom w:val="nil"/>
                <w:right w:val="nil"/>
                <w:between w:val="nil"/>
              </w:pBdr>
              <w:spacing w:line="264" w:lineRule="auto"/>
              <w:jc w:val="left"/>
              <w:rPr>
                <w:color w:val="006A66"/>
                <w:sz w:val="28"/>
                <w:szCs w:val="28"/>
              </w:rPr>
            </w:pPr>
            <w:r>
              <w:rPr>
                <w:color w:val="006A66"/>
                <w:sz w:val="28"/>
                <w:szCs w:val="28"/>
              </w:rPr>
              <w:t>3-5 minutes</w:t>
            </w:r>
          </w:p>
        </w:tc>
        <w:tc>
          <w:tcPr>
            <w:tcW w:w="1990" w:type="dxa"/>
            <w:tcBorders>
              <w:bottom w:val="single" w:sz="4" w:space="0" w:color="000000"/>
            </w:tcBorders>
          </w:tcPr>
          <w:p w14:paraId="305C6AF6" w14:textId="656C7DEC" w:rsidR="00AA4EB0" w:rsidRDefault="00A64245">
            <w:pPr>
              <w:pBdr>
                <w:top w:val="nil"/>
                <w:left w:val="nil"/>
                <w:bottom w:val="nil"/>
                <w:right w:val="nil"/>
                <w:between w:val="nil"/>
              </w:pBdr>
              <w:spacing w:line="264" w:lineRule="auto"/>
              <w:jc w:val="left"/>
              <w:rPr>
                <w:color w:val="006A66"/>
                <w:sz w:val="28"/>
                <w:szCs w:val="28"/>
              </w:rPr>
            </w:pPr>
            <w:r>
              <w:rPr>
                <w:color w:val="006A66"/>
                <w:sz w:val="28"/>
                <w:szCs w:val="28"/>
              </w:rPr>
              <w:t>Ouverture</w:t>
            </w:r>
          </w:p>
        </w:tc>
        <w:tc>
          <w:tcPr>
            <w:tcW w:w="2126" w:type="dxa"/>
            <w:tcBorders>
              <w:bottom w:val="single" w:sz="4" w:space="0" w:color="000000"/>
            </w:tcBorders>
          </w:tcPr>
          <w:p w14:paraId="305C6AF7" w14:textId="77777777" w:rsidR="00AA4EB0" w:rsidRDefault="00B010E4">
            <w:pPr>
              <w:pBdr>
                <w:top w:val="nil"/>
                <w:left w:val="nil"/>
                <w:bottom w:val="nil"/>
                <w:right w:val="nil"/>
                <w:between w:val="nil"/>
              </w:pBdr>
              <w:spacing w:line="264" w:lineRule="auto"/>
              <w:jc w:val="left"/>
              <w:rPr>
                <w:color w:val="006A66"/>
                <w:sz w:val="28"/>
                <w:szCs w:val="28"/>
              </w:rPr>
            </w:pPr>
            <w:r>
              <w:rPr>
                <w:color w:val="006A66"/>
                <w:sz w:val="28"/>
                <w:szCs w:val="28"/>
              </w:rPr>
              <w:t>Modérateur / MC</w:t>
            </w:r>
          </w:p>
        </w:tc>
        <w:tc>
          <w:tcPr>
            <w:tcW w:w="2835" w:type="dxa"/>
            <w:tcBorders>
              <w:bottom w:val="single" w:sz="4" w:space="0" w:color="000000"/>
            </w:tcBorders>
          </w:tcPr>
          <w:p w14:paraId="305C6AF8" w14:textId="1DB0042B" w:rsidR="00AA4EB0" w:rsidRPr="00963F6B" w:rsidRDefault="00A64245">
            <w:pPr>
              <w:pBdr>
                <w:top w:val="nil"/>
                <w:left w:val="nil"/>
                <w:bottom w:val="nil"/>
                <w:right w:val="nil"/>
                <w:between w:val="nil"/>
              </w:pBdr>
              <w:spacing w:line="264" w:lineRule="auto"/>
              <w:jc w:val="left"/>
              <w:rPr>
                <w:color w:val="006A66"/>
                <w:sz w:val="28"/>
                <w:szCs w:val="28"/>
                <w:lang w:val="fr-FR"/>
              </w:rPr>
            </w:pPr>
            <w:r w:rsidRPr="00963F6B">
              <w:rPr>
                <w:color w:val="006A66"/>
                <w:sz w:val="28"/>
                <w:szCs w:val="28"/>
                <w:lang w:val="fr-FR"/>
              </w:rPr>
              <w:t>Présentation des objectifs et de l'approche de la session</w:t>
            </w:r>
          </w:p>
        </w:tc>
      </w:tr>
      <w:tr w:rsidR="00AA4EB0" w:rsidRPr="00963F6B" w14:paraId="305C6AFE" w14:textId="77777777" w:rsidTr="00260908">
        <w:trPr>
          <w:trHeight w:val="239"/>
        </w:trPr>
        <w:tc>
          <w:tcPr>
            <w:tcW w:w="1833" w:type="dxa"/>
            <w:tcBorders>
              <w:top w:val="single" w:sz="4" w:space="0" w:color="000000"/>
            </w:tcBorders>
          </w:tcPr>
          <w:p w14:paraId="305C6AFA" w14:textId="4D0BE3E0" w:rsidR="00AA4EB0" w:rsidRPr="00A64245" w:rsidRDefault="00A64245">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20 min</w:t>
            </w:r>
          </w:p>
        </w:tc>
        <w:tc>
          <w:tcPr>
            <w:tcW w:w="1990" w:type="dxa"/>
            <w:tcBorders>
              <w:top w:val="single" w:sz="4" w:space="0" w:color="000000"/>
            </w:tcBorders>
          </w:tcPr>
          <w:p w14:paraId="305C6AFB" w14:textId="303585D5" w:rsidR="00AA4EB0" w:rsidRDefault="00A64245">
            <w:pPr>
              <w:pBdr>
                <w:top w:val="nil"/>
                <w:left w:val="nil"/>
                <w:bottom w:val="nil"/>
                <w:right w:val="nil"/>
                <w:between w:val="nil"/>
              </w:pBdr>
              <w:spacing w:line="264" w:lineRule="auto"/>
              <w:jc w:val="left"/>
              <w:rPr>
                <w:color w:val="006A66"/>
                <w:sz w:val="28"/>
                <w:szCs w:val="28"/>
              </w:rPr>
            </w:pPr>
            <w:r>
              <w:rPr>
                <w:color w:val="006A66"/>
                <w:sz w:val="28"/>
                <w:szCs w:val="28"/>
              </w:rPr>
              <w:t>Cadre conceptuel</w:t>
            </w:r>
          </w:p>
        </w:tc>
        <w:tc>
          <w:tcPr>
            <w:tcW w:w="2126" w:type="dxa"/>
            <w:tcBorders>
              <w:top w:val="single" w:sz="4" w:space="0" w:color="000000"/>
            </w:tcBorders>
          </w:tcPr>
          <w:p w14:paraId="305C6AFC" w14:textId="2C6C01B3" w:rsidR="00AA4EB0" w:rsidRDefault="00A64245">
            <w:pPr>
              <w:pBdr>
                <w:top w:val="nil"/>
                <w:left w:val="nil"/>
                <w:bottom w:val="nil"/>
                <w:right w:val="nil"/>
                <w:between w:val="nil"/>
              </w:pBdr>
              <w:spacing w:line="264" w:lineRule="auto"/>
              <w:jc w:val="left"/>
              <w:rPr>
                <w:color w:val="006A66"/>
                <w:sz w:val="28"/>
                <w:szCs w:val="28"/>
              </w:rPr>
            </w:pPr>
            <w:r>
              <w:rPr>
                <w:color w:val="006A66"/>
                <w:sz w:val="28"/>
                <w:szCs w:val="28"/>
              </w:rPr>
              <w:t>Conférencier principal</w:t>
            </w:r>
          </w:p>
        </w:tc>
        <w:tc>
          <w:tcPr>
            <w:tcW w:w="2835" w:type="dxa"/>
            <w:tcBorders>
              <w:top w:val="single" w:sz="4" w:space="0" w:color="000000"/>
            </w:tcBorders>
          </w:tcPr>
          <w:p w14:paraId="305C6AFD" w14:textId="3F44CCC6" w:rsidR="00AA4EB0" w:rsidRPr="00963F6B" w:rsidRDefault="00A64245">
            <w:pPr>
              <w:pBdr>
                <w:top w:val="nil"/>
                <w:left w:val="nil"/>
                <w:bottom w:val="nil"/>
                <w:right w:val="nil"/>
                <w:between w:val="nil"/>
              </w:pBdr>
              <w:spacing w:line="264" w:lineRule="auto"/>
              <w:jc w:val="left"/>
              <w:rPr>
                <w:color w:val="006A66"/>
                <w:sz w:val="28"/>
                <w:szCs w:val="28"/>
                <w:lang w:val="fr-FR"/>
              </w:rPr>
            </w:pPr>
            <w:r w:rsidRPr="00963F6B">
              <w:rPr>
                <w:color w:val="006A66"/>
                <w:sz w:val="28"/>
                <w:szCs w:val="28"/>
                <w:lang w:val="fr-FR"/>
              </w:rPr>
              <w:t>Lien entre le travail domestique des enfants et l'économie des soins</w:t>
            </w:r>
          </w:p>
        </w:tc>
      </w:tr>
      <w:tr w:rsidR="00AA4EB0" w:rsidRPr="00963F6B" w14:paraId="305C6B03" w14:textId="77777777" w:rsidTr="00260908">
        <w:tc>
          <w:tcPr>
            <w:tcW w:w="1833" w:type="dxa"/>
          </w:tcPr>
          <w:p w14:paraId="305C6AFF" w14:textId="5094E70B" w:rsidR="00AA4EB0" w:rsidRDefault="00A64245">
            <w:pPr>
              <w:pBdr>
                <w:top w:val="nil"/>
                <w:left w:val="nil"/>
                <w:bottom w:val="nil"/>
                <w:right w:val="nil"/>
                <w:between w:val="nil"/>
              </w:pBdr>
              <w:spacing w:line="264" w:lineRule="auto"/>
              <w:jc w:val="left"/>
              <w:rPr>
                <w:color w:val="006A66"/>
                <w:sz w:val="28"/>
                <w:szCs w:val="28"/>
              </w:rPr>
            </w:pPr>
            <w:r>
              <w:rPr>
                <w:color w:val="006A66"/>
                <w:sz w:val="28"/>
                <w:szCs w:val="28"/>
              </w:rPr>
              <w:t>50 min</w:t>
            </w:r>
          </w:p>
        </w:tc>
        <w:tc>
          <w:tcPr>
            <w:tcW w:w="1990" w:type="dxa"/>
          </w:tcPr>
          <w:p w14:paraId="305C6B00" w14:textId="31BDDEF2" w:rsidR="00AA4EB0" w:rsidRDefault="007A59C7">
            <w:pPr>
              <w:pBdr>
                <w:top w:val="nil"/>
                <w:left w:val="nil"/>
                <w:bottom w:val="nil"/>
                <w:right w:val="nil"/>
                <w:between w:val="nil"/>
              </w:pBdr>
              <w:spacing w:line="264" w:lineRule="auto"/>
              <w:ind w:left="360"/>
              <w:jc w:val="left"/>
              <w:rPr>
                <w:color w:val="006A66"/>
                <w:sz w:val="28"/>
                <w:szCs w:val="28"/>
              </w:rPr>
            </w:pPr>
            <w:r>
              <w:rPr>
                <w:color w:val="006A66"/>
                <w:sz w:val="28"/>
                <w:szCs w:val="28"/>
              </w:rPr>
              <w:t>Table</w:t>
            </w:r>
            <w:r w:rsidR="00A64245">
              <w:rPr>
                <w:color w:val="006A66"/>
                <w:sz w:val="28"/>
                <w:szCs w:val="28"/>
              </w:rPr>
              <w:t xml:space="preserve"> ronde</w:t>
            </w:r>
          </w:p>
        </w:tc>
        <w:tc>
          <w:tcPr>
            <w:tcW w:w="2126" w:type="dxa"/>
          </w:tcPr>
          <w:p w14:paraId="305C6B01" w14:textId="27A1A597" w:rsidR="00AA4EB0" w:rsidRDefault="00A64245">
            <w:pPr>
              <w:pBdr>
                <w:top w:val="nil"/>
                <w:left w:val="nil"/>
                <w:bottom w:val="nil"/>
                <w:right w:val="nil"/>
                <w:between w:val="nil"/>
              </w:pBdr>
              <w:spacing w:line="264" w:lineRule="auto"/>
              <w:jc w:val="left"/>
              <w:rPr>
                <w:color w:val="006A66"/>
                <w:sz w:val="28"/>
                <w:szCs w:val="28"/>
              </w:rPr>
            </w:pPr>
            <w:r>
              <w:rPr>
                <w:color w:val="006A66"/>
                <w:sz w:val="28"/>
                <w:szCs w:val="28"/>
              </w:rPr>
              <w:t>Intervenants</w:t>
            </w:r>
          </w:p>
        </w:tc>
        <w:tc>
          <w:tcPr>
            <w:tcW w:w="2835" w:type="dxa"/>
          </w:tcPr>
          <w:p w14:paraId="305C6B02" w14:textId="3C353C22" w:rsidR="00AA4EB0" w:rsidRPr="00963F6B" w:rsidRDefault="008633E2">
            <w:pPr>
              <w:pBdr>
                <w:top w:val="nil"/>
                <w:left w:val="nil"/>
                <w:bottom w:val="nil"/>
                <w:right w:val="nil"/>
                <w:between w:val="nil"/>
              </w:pBdr>
              <w:spacing w:line="264" w:lineRule="auto"/>
              <w:jc w:val="left"/>
              <w:rPr>
                <w:color w:val="006A66"/>
                <w:sz w:val="28"/>
                <w:szCs w:val="28"/>
                <w:lang w:val="fr-FR"/>
              </w:rPr>
            </w:pPr>
            <w:r w:rsidRPr="00963F6B">
              <w:rPr>
                <w:color w:val="006A66"/>
                <w:sz w:val="28"/>
                <w:szCs w:val="28"/>
                <w:lang w:val="fr-FR"/>
              </w:rPr>
              <w:t>Échange d'expériences, de politiques et de défis</w:t>
            </w:r>
          </w:p>
        </w:tc>
      </w:tr>
      <w:tr w:rsidR="008633E2" w:rsidRPr="008633E2" w14:paraId="10B797EA" w14:textId="77777777" w:rsidTr="00260908">
        <w:tc>
          <w:tcPr>
            <w:tcW w:w="1833" w:type="dxa"/>
          </w:tcPr>
          <w:p w14:paraId="3541BA6E" w14:textId="2BCF8CEC" w:rsidR="008633E2" w:rsidRDefault="008633E2">
            <w:pPr>
              <w:pBdr>
                <w:top w:val="nil"/>
                <w:left w:val="nil"/>
                <w:bottom w:val="nil"/>
                <w:right w:val="nil"/>
                <w:between w:val="nil"/>
              </w:pBdr>
              <w:spacing w:line="264" w:lineRule="auto"/>
              <w:jc w:val="left"/>
              <w:rPr>
                <w:color w:val="006A66"/>
                <w:sz w:val="28"/>
                <w:szCs w:val="28"/>
              </w:rPr>
            </w:pPr>
            <w:r>
              <w:rPr>
                <w:color w:val="006A66"/>
                <w:sz w:val="28"/>
                <w:szCs w:val="28"/>
              </w:rPr>
              <w:t>25 min</w:t>
            </w:r>
          </w:p>
        </w:tc>
        <w:tc>
          <w:tcPr>
            <w:tcW w:w="1990" w:type="dxa"/>
          </w:tcPr>
          <w:p w14:paraId="3599D512" w14:textId="29E51D08" w:rsidR="008633E2" w:rsidRPr="00963F6B" w:rsidRDefault="008633E2">
            <w:pPr>
              <w:pBdr>
                <w:top w:val="nil"/>
                <w:left w:val="nil"/>
                <w:bottom w:val="nil"/>
                <w:right w:val="nil"/>
                <w:between w:val="nil"/>
              </w:pBdr>
              <w:spacing w:line="264" w:lineRule="auto"/>
              <w:ind w:left="360"/>
              <w:jc w:val="left"/>
              <w:rPr>
                <w:color w:val="006A66"/>
                <w:sz w:val="28"/>
                <w:szCs w:val="28"/>
                <w:lang w:val="fr-FR"/>
              </w:rPr>
            </w:pPr>
            <w:r w:rsidRPr="00963F6B">
              <w:rPr>
                <w:color w:val="006A66"/>
                <w:sz w:val="28"/>
                <w:szCs w:val="28"/>
                <w:lang w:val="fr-FR"/>
              </w:rPr>
              <w:t>Questions et réponses du public</w:t>
            </w:r>
          </w:p>
        </w:tc>
        <w:tc>
          <w:tcPr>
            <w:tcW w:w="2126" w:type="dxa"/>
          </w:tcPr>
          <w:p w14:paraId="036130A7" w14:textId="77777777" w:rsidR="008633E2" w:rsidRDefault="008633E2">
            <w:pPr>
              <w:pBdr>
                <w:top w:val="nil"/>
                <w:left w:val="nil"/>
                <w:bottom w:val="nil"/>
                <w:right w:val="nil"/>
                <w:between w:val="nil"/>
              </w:pBdr>
              <w:spacing w:line="264" w:lineRule="auto"/>
              <w:jc w:val="left"/>
              <w:rPr>
                <w:color w:val="006A66"/>
                <w:sz w:val="28"/>
                <w:szCs w:val="28"/>
                <w:lang w:val="es-ES"/>
              </w:rPr>
            </w:pPr>
            <w:proofErr w:type="spellStart"/>
            <w:r>
              <w:rPr>
                <w:color w:val="006A66"/>
                <w:sz w:val="28"/>
                <w:szCs w:val="28"/>
                <w:lang w:val="es-ES"/>
              </w:rPr>
              <w:t>Modération</w:t>
            </w:r>
            <w:proofErr w:type="spellEnd"/>
          </w:p>
          <w:p w14:paraId="698FD579" w14:textId="332BCD05" w:rsidR="001F34C8" w:rsidRPr="008633E2" w:rsidRDefault="001F34C8">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Intervenants</w:t>
            </w:r>
          </w:p>
        </w:tc>
        <w:tc>
          <w:tcPr>
            <w:tcW w:w="2835" w:type="dxa"/>
          </w:tcPr>
          <w:p w14:paraId="4DFD7D2A" w14:textId="587A138F" w:rsidR="008633E2" w:rsidRDefault="008633E2">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 xml:space="preserve">Questions </w:t>
            </w:r>
            <w:r w:rsidR="000A2F01">
              <w:rPr>
                <w:color w:val="006A66"/>
                <w:sz w:val="28"/>
                <w:szCs w:val="28"/>
                <w:lang w:val="es-ES"/>
              </w:rPr>
              <w:t xml:space="preserve">et </w:t>
            </w:r>
            <w:r>
              <w:rPr>
                <w:color w:val="006A66"/>
                <w:sz w:val="28"/>
                <w:szCs w:val="28"/>
                <w:lang w:val="es-ES"/>
              </w:rPr>
              <w:t xml:space="preserve">commentaires </w:t>
            </w:r>
          </w:p>
        </w:tc>
      </w:tr>
      <w:tr w:rsidR="000A2F01" w:rsidRPr="00963F6B" w14:paraId="4F35D9E1" w14:textId="77777777" w:rsidTr="00260908">
        <w:tc>
          <w:tcPr>
            <w:tcW w:w="1833" w:type="dxa"/>
          </w:tcPr>
          <w:p w14:paraId="1F8662E6" w14:textId="6F52F2FD" w:rsidR="000A2F01" w:rsidRDefault="007A59C7">
            <w:pPr>
              <w:pBdr>
                <w:top w:val="nil"/>
                <w:left w:val="nil"/>
                <w:bottom w:val="nil"/>
                <w:right w:val="nil"/>
                <w:between w:val="nil"/>
              </w:pBdr>
              <w:spacing w:line="264" w:lineRule="auto"/>
              <w:jc w:val="left"/>
              <w:rPr>
                <w:color w:val="006A66"/>
                <w:sz w:val="28"/>
                <w:szCs w:val="28"/>
              </w:rPr>
            </w:pPr>
            <w:r>
              <w:rPr>
                <w:color w:val="006A66"/>
                <w:sz w:val="28"/>
                <w:szCs w:val="28"/>
              </w:rPr>
              <w:t>10 min</w:t>
            </w:r>
          </w:p>
        </w:tc>
        <w:tc>
          <w:tcPr>
            <w:tcW w:w="1990" w:type="dxa"/>
          </w:tcPr>
          <w:p w14:paraId="018CE627" w14:textId="0E115A0B" w:rsidR="000A2F01" w:rsidRPr="008633E2" w:rsidRDefault="007A59C7">
            <w:pPr>
              <w:pBdr>
                <w:top w:val="nil"/>
                <w:left w:val="nil"/>
                <w:bottom w:val="nil"/>
                <w:right w:val="nil"/>
                <w:between w:val="nil"/>
              </w:pBdr>
              <w:spacing w:line="264" w:lineRule="auto"/>
              <w:ind w:left="360"/>
              <w:jc w:val="left"/>
              <w:rPr>
                <w:color w:val="006A66"/>
                <w:sz w:val="28"/>
                <w:szCs w:val="28"/>
                <w:lang w:val="es-ES"/>
              </w:rPr>
            </w:pPr>
            <w:r>
              <w:rPr>
                <w:color w:val="006A66"/>
                <w:sz w:val="28"/>
                <w:szCs w:val="28"/>
                <w:lang w:val="es-ES"/>
              </w:rPr>
              <w:t>Clôture</w:t>
            </w:r>
          </w:p>
        </w:tc>
        <w:tc>
          <w:tcPr>
            <w:tcW w:w="2126" w:type="dxa"/>
          </w:tcPr>
          <w:p w14:paraId="15661C6B" w14:textId="51911C77" w:rsidR="000A2F01" w:rsidRDefault="007A59C7">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Modération</w:t>
            </w:r>
          </w:p>
        </w:tc>
        <w:tc>
          <w:tcPr>
            <w:tcW w:w="2835" w:type="dxa"/>
          </w:tcPr>
          <w:p w14:paraId="095CFBD5" w14:textId="35752FC5" w:rsidR="000A2F01" w:rsidRPr="00963F6B" w:rsidRDefault="007A59C7">
            <w:pPr>
              <w:pBdr>
                <w:top w:val="nil"/>
                <w:left w:val="nil"/>
                <w:bottom w:val="nil"/>
                <w:right w:val="nil"/>
                <w:between w:val="nil"/>
              </w:pBdr>
              <w:spacing w:line="264" w:lineRule="auto"/>
              <w:jc w:val="left"/>
              <w:rPr>
                <w:color w:val="006A66"/>
                <w:sz w:val="28"/>
                <w:szCs w:val="28"/>
                <w:lang w:val="fr-FR"/>
              </w:rPr>
            </w:pPr>
            <w:r w:rsidRPr="00963F6B">
              <w:rPr>
                <w:color w:val="006A66"/>
                <w:sz w:val="28"/>
                <w:szCs w:val="28"/>
                <w:lang w:val="fr-FR"/>
              </w:rPr>
              <w:t>Synthèse des messages clés et prochaines étapes</w:t>
            </w:r>
          </w:p>
        </w:tc>
      </w:tr>
    </w:tbl>
    <w:p w14:paraId="305C6B04" w14:textId="77777777" w:rsidR="00AA4EB0" w:rsidRPr="00963F6B" w:rsidRDefault="00AA4EB0">
      <w:pPr>
        <w:rPr>
          <w:lang w:val="fr-FR"/>
        </w:rPr>
      </w:pPr>
    </w:p>
    <w:p w14:paraId="0DEFF900" w14:textId="77777777" w:rsidR="00F20EAA" w:rsidRPr="00963F6B" w:rsidRDefault="00F20EAA">
      <w:pPr>
        <w:rPr>
          <w:lang w:val="fr-FR"/>
        </w:rPr>
      </w:pPr>
    </w:p>
    <w:p w14:paraId="305C6B05" w14:textId="77777777" w:rsidR="00AA4EB0" w:rsidRPr="00963F6B" w:rsidRDefault="00B010E4">
      <w:pPr>
        <w:pStyle w:val="Heading2"/>
        <w:numPr>
          <w:ilvl w:val="0"/>
          <w:numId w:val="1"/>
        </w:numPr>
        <w:ind w:left="567" w:hanging="283"/>
        <w:rPr>
          <w:color w:val="ED7D31"/>
          <w:sz w:val="36"/>
          <w:szCs w:val="36"/>
          <w:lang w:val="fr-FR"/>
        </w:rPr>
      </w:pPr>
      <w:r w:rsidRPr="00963F6B">
        <w:rPr>
          <w:color w:val="ED7D31"/>
          <w:sz w:val="36"/>
          <w:szCs w:val="36"/>
          <w:lang w:val="fr-FR"/>
        </w:rPr>
        <w:lastRenderedPageBreak/>
        <w:t>À propos des organisateurs de la 6e Conférence mondiale sur l'élimination du travail des enfants (facultatif)</w:t>
      </w:r>
    </w:p>
    <w:p w14:paraId="1261794A" w14:textId="7022495F" w:rsidR="00D53830" w:rsidRPr="00963F6B" w:rsidRDefault="00B170EB" w:rsidP="00D53830">
      <w:pPr>
        <w:pStyle w:val="NoSpacing"/>
        <w:rPr>
          <w:lang w:val="fr-FR"/>
        </w:rPr>
      </w:pPr>
      <w:r w:rsidRPr="00963F6B">
        <w:rPr>
          <w:lang w:val="fr-FR"/>
        </w:rPr>
        <w:t xml:space="preserve">Cet </w:t>
      </w:r>
      <w:r w:rsidR="00D53830" w:rsidRPr="00963F6B">
        <w:rPr>
          <w:lang w:val="fr-FR"/>
        </w:rPr>
        <w:t xml:space="preserve">événement parallèle s'inscrit dans le cadre des efforts régionaux menés par </w:t>
      </w:r>
      <w:r w:rsidR="00D53830" w:rsidRPr="00963F6B">
        <w:rPr>
          <w:b/>
          <w:bCs/>
          <w:lang w:val="fr-FR"/>
        </w:rPr>
        <w:t>l'Initiative régionale pour une Amérique latine et des Caraïbes sans travail des enfants (IR)</w:t>
      </w:r>
      <w:r w:rsidR="00D53830" w:rsidRPr="00963F6B">
        <w:rPr>
          <w:lang w:val="fr-FR"/>
        </w:rPr>
        <w:t xml:space="preserve">, une plateforme </w:t>
      </w:r>
      <w:r w:rsidRPr="00963F6B">
        <w:rPr>
          <w:lang w:val="fr-FR"/>
        </w:rPr>
        <w:t>tripartite régionale dont le secrétariat technique est assuré par l'OIT</w:t>
      </w:r>
      <w:r w:rsidR="00D53830" w:rsidRPr="00963F6B">
        <w:rPr>
          <w:lang w:val="fr-FR"/>
        </w:rPr>
        <w:t xml:space="preserve">, qui joue </w:t>
      </w:r>
      <w:r w:rsidR="002D2CEF" w:rsidRPr="00963F6B">
        <w:rPr>
          <w:lang w:val="fr-FR"/>
        </w:rPr>
        <w:t xml:space="preserve">depuis plus de 10 ans </w:t>
      </w:r>
      <w:r w:rsidR="00D53830" w:rsidRPr="00963F6B">
        <w:rPr>
          <w:lang w:val="fr-FR"/>
        </w:rPr>
        <w:t>un rôle central dans la coordination des politiques publiques et des actions coordonnées pour la prévention et l'éradication du travail des enfants dans la région.</w:t>
      </w:r>
    </w:p>
    <w:p w14:paraId="4076BF0F" w14:textId="3DB1186D" w:rsidR="00D53830" w:rsidRPr="00963F6B" w:rsidRDefault="00D53830" w:rsidP="00D53830">
      <w:pPr>
        <w:pStyle w:val="NoSpacing"/>
        <w:rPr>
          <w:lang w:val="fr-FR"/>
        </w:rPr>
      </w:pPr>
      <w:r w:rsidRPr="00963F6B">
        <w:rPr>
          <w:lang w:val="fr-FR"/>
        </w:rPr>
        <w:t xml:space="preserve">Dans ce cadre, la Déclaration tripartite de Brasilia (2024) </w:t>
      </w:r>
      <w:r w:rsidR="00343473" w:rsidRPr="00963F6B">
        <w:rPr>
          <w:lang w:val="fr-FR"/>
        </w:rPr>
        <w:t>de l'Initiative régionale</w:t>
      </w:r>
      <w:r w:rsidRPr="00963F6B">
        <w:rPr>
          <w:lang w:val="fr-FR"/>
        </w:rPr>
        <w:t xml:space="preserve">, </w:t>
      </w:r>
      <w:r w:rsidR="00343473" w:rsidRPr="00963F6B">
        <w:rPr>
          <w:lang w:val="fr-FR"/>
        </w:rPr>
        <w:t xml:space="preserve">ainsi que la </w:t>
      </w:r>
      <w:r w:rsidR="002D5F97" w:rsidRPr="00963F6B">
        <w:rPr>
          <w:lang w:val="fr-FR"/>
        </w:rPr>
        <w:t xml:space="preserve">Déclaration </w:t>
      </w:r>
      <w:r w:rsidR="00343473" w:rsidRPr="00963F6B">
        <w:rPr>
          <w:lang w:val="fr-FR"/>
        </w:rPr>
        <w:t>tripartite de Punta Cana (</w:t>
      </w:r>
      <w:r w:rsidR="002D5F97" w:rsidRPr="00963F6B">
        <w:rPr>
          <w:lang w:val="fr-FR"/>
        </w:rPr>
        <w:t>2025)</w:t>
      </w:r>
      <w:r w:rsidRPr="00963F6B">
        <w:rPr>
          <w:lang w:val="fr-FR"/>
        </w:rPr>
        <w:t xml:space="preserve"> 20e réunion régionale américaine de l'OIT, réaffirment la priorité accordée à l'abolition du travail des enfants, l'engagement soutenu en faveur de sa prévention et de son éradication, et la protection des jeunes qui ont atteint l'âge minimum pour travailler. De même, la Déclaration reconnaît explicitement l'Initiative régionale pour une Amérique latine et une Caraïbe sans travail des enfants comme un exemple emblématique de coopération régionale, appelée à continuer de mener les efforts vers une région exempte de ce phénomène.</w:t>
      </w:r>
    </w:p>
    <w:p w14:paraId="268C7E9D" w14:textId="77777777" w:rsidR="00D53830" w:rsidRPr="00963F6B" w:rsidRDefault="00D53830" w:rsidP="00D77847">
      <w:pPr>
        <w:pStyle w:val="NoSpacing"/>
        <w:rPr>
          <w:lang w:val="fr-FR"/>
        </w:rPr>
      </w:pPr>
      <w:r w:rsidRPr="00963F6B">
        <w:rPr>
          <w:lang w:val="fr-FR"/>
        </w:rPr>
        <w:t>Ces engagements politiques ont été renforcés lors des consultations régionales des Amériques organisées en 2025 dans le cadre du processus préparatoire de la 6e Conférence mondiale sur l'éradication du travail des enfants. Lors de ces consultations, le travail domestique des enfants et son lien avec l'économie des soins ont été mis en avant comme l'un des thèmes prioritaires pour l'action régionale, en raison de leur caractère structurel, de leur forte dimension de genre et de leur invisibilité persistante dans les cadres normatifs et les politiques publiques.</w:t>
      </w:r>
    </w:p>
    <w:p w14:paraId="305C6B08" w14:textId="77777777" w:rsidR="00AA4EB0" w:rsidRPr="00963F6B" w:rsidRDefault="00AA4EB0">
      <w:pPr>
        <w:rPr>
          <w:lang w:val="fr-FR"/>
        </w:rPr>
      </w:pPr>
    </w:p>
    <w:p w14:paraId="305C6B09" w14:textId="77777777" w:rsidR="00AA4EB0" w:rsidRPr="00963F6B" w:rsidRDefault="00AA4EB0">
      <w:pPr>
        <w:rPr>
          <w:lang w:val="fr-FR"/>
        </w:rPr>
      </w:pPr>
    </w:p>
    <w:p w14:paraId="305C6B0A" w14:textId="77777777" w:rsidR="00AA4EB0" w:rsidRPr="00963F6B" w:rsidRDefault="00AA4EB0">
      <w:pPr>
        <w:tabs>
          <w:tab w:val="left" w:pos="7819"/>
        </w:tabs>
        <w:rPr>
          <w:color w:val="006A66"/>
          <w:sz w:val="28"/>
          <w:szCs w:val="28"/>
          <w:lang w:val="fr-FR"/>
        </w:rPr>
      </w:pPr>
    </w:p>
    <w:sectPr w:rsidR="00AA4EB0" w:rsidRPr="00963F6B">
      <w:headerReference w:type="default" r:id="rId12"/>
      <w:footerReference w:type="default" r:id="rId13"/>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C1EF8" w14:textId="77777777" w:rsidR="00383E53" w:rsidRDefault="00383E53">
      <w:pPr>
        <w:spacing w:before="0" w:after="0"/>
      </w:pPr>
      <w:r>
        <w:separator/>
      </w:r>
    </w:p>
  </w:endnote>
  <w:endnote w:type="continuationSeparator" w:id="0">
    <w:p w14:paraId="01773705" w14:textId="77777777" w:rsidR="00383E53" w:rsidRDefault="00383E5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CD36CA0-4945-4DA9-8B53-F4A6F94F4499}"/>
  </w:font>
  <w:font w:name="Calibri">
    <w:panose1 w:val="020F0502020204030204"/>
    <w:charset w:val="00"/>
    <w:family w:val="swiss"/>
    <w:pitch w:val="variable"/>
    <w:sig w:usb0="E4002EFF" w:usb1="C200247B" w:usb2="00000009" w:usb3="00000000" w:csb0="000001FF" w:csb1="00000000"/>
    <w:embedRegular r:id="rId2" w:fontKey="{82C4F48B-BF4B-4612-94D2-93DBE34A7A85}"/>
    <w:embedBold r:id="rId3" w:fontKey="{94C47235-5B5C-4E2F-BDF4-5BA208A6ADCA}"/>
    <w:embedItalic r:id="rId4" w:fontKey="{D8F21384-A6E2-4F16-B950-06C48E14A9EA}"/>
  </w:font>
  <w:font w:name="Cera Pro">
    <w:altName w:val="Calibri"/>
    <w:charset w:val="00"/>
    <w:family w:val="auto"/>
    <w:pitch w:val="default"/>
  </w:font>
  <w:font w:name="Noto Sans">
    <w:panose1 w:val="020B0502040504020204"/>
    <w:charset w:val="00"/>
    <w:family w:val="swiss"/>
    <w:pitch w:val="variable"/>
    <w:sig w:usb0="E00002FF" w:usb1="4000201F" w:usb2="08000029" w:usb3="00000000" w:csb0="0000019F" w:csb1="00000000"/>
    <w:embedRegular r:id="rId5" w:fontKey="{0012CABA-D449-4998-8FFE-853FC7EC529E}"/>
    <w:embedBold r:id="rId6" w:fontKey="{DD7A9C09-92EE-4F1B-8356-CC3EDC1AE6E2}"/>
  </w:font>
  <w:font w:name="Overpass">
    <w:panose1 w:val="00000500000000000000"/>
    <w:charset w:val="00"/>
    <w:family w:val="auto"/>
    <w:pitch w:val="variable"/>
    <w:sig w:usb0="00000007" w:usb1="00000020" w:usb2="00000000" w:usb3="00000000" w:csb0="00000093" w:csb1="00000000"/>
    <w:embedBold r:id="rId7" w:fontKey="{BA1EA06B-469E-47AB-A272-D9AB5C6140B7}"/>
  </w:font>
  <w:font w:name="Georgia">
    <w:panose1 w:val="02040502050405020303"/>
    <w:charset w:val="00"/>
    <w:family w:val="roman"/>
    <w:pitch w:val="variable"/>
    <w:sig w:usb0="00000287" w:usb1="00000000" w:usb2="00000000" w:usb3="00000000" w:csb0="0000009F" w:csb1="00000000"/>
    <w:embedItalic r:id="rId8" w:fontKey="{E1A6BDC7-5E15-49C3-8A66-DD5C66A397BF}"/>
  </w:font>
  <w:font w:name="Calibri Light">
    <w:panose1 w:val="020F0302020204030204"/>
    <w:charset w:val="00"/>
    <w:family w:val="swiss"/>
    <w:pitch w:val="variable"/>
    <w:sig w:usb0="E4002EFF" w:usb1="C200247B" w:usb2="00000009" w:usb3="00000000" w:csb0="000001FF" w:csb1="00000000"/>
    <w:embedRegular r:id="rId9" w:fontKey="{AD1E9C74-D270-4543-B3B2-4522F8DDA6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6B0C" w14:textId="7C8F5EA6" w:rsidR="00AA4EB0" w:rsidRDefault="00B010E4">
    <w:pPr>
      <w:pBdr>
        <w:top w:val="nil"/>
        <w:left w:val="nil"/>
        <w:bottom w:val="nil"/>
        <w:right w:val="nil"/>
        <w:between w:val="nil"/>
      </w:pBdr>
      <w:tabs>
        <w:tab w:val="center" w:pos="4536"/>
        <w:tab w:val="right" w:pos="9072"/>
      </w:tabs>
      <w:jc w:val="right"/>
      <w:rPr>
        <w:smallCaps/>
        <w:color w:val="006A66"/>
      </w:rPr>
    </w:pPr>
    <w:r>
      <w:rPr>
        <w:smallCaps/>
        <w:color w:val="006A66"/>
      </w:rPr>
      <w:fldChar w:fldCharType="begin"/>
    </w:r>
    <w:r>
      <w:rPr>
        <w:smallCaps/>
        <w:color w:val="006A66"/>
      </w:rPr>
      <w:instrText>PAGE</w:instrText>
    </w:r>
    <w:r>
      <w:rPr>
        <w:smallCaps/>
        <w:color w:val="006A66"/>
      </w:rPr>
      <w:fldChar w:fldCharType="separate"/>
    </w:r>
    <w:r w:rsidR="00F404C4">
      <w:rPr>
        <w:smallCaps/>
        <w:noProof/>
        <w:color w:val="006A66"/>
      </w:rPr>
      <w:t>1</w:t>
    </w:r>
    <w:r>
      <w:rPr>
        <w:smallCaps/>
        <w:color w:val="006A66"/>
      </w:rPr>
      <w:fldChar w:fldCharType="end"/>
    </w:r>
    <w:r>
      <w:rPr>
        <w:noProof/>
      </w:rPr>
      <mc:AlternateContent>
        <mc:Choice Requires="wps">
          <w:drawing>
            <wp:anchor distT="0" distB="0" distL="114300" distR="114300" simplePos="0" relativeHeight="251659264" behindDoc="0" locked="0" layoutInCell="1" hidden="0" allowOverlap="1" wp14:anchorId="305C6B10" wp14:editId="305C6B11">
              <wp:simplePos x="0" y="0"/>
              <wp:positionH relativeFrom="column">
                <wp:posOffset>3397821</wp:posOffset>
              </wp:positionH>
              <wp:positionV relativeFrom="paragraph">
                <wp:posOffset>165100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248000" y="3780000"/>
                        <a:ext cx="2196000" cy="0"/>
                      </a:xfrm>
                      <a:prstGeom prst="straightConnector1">
                        <a:avLst/>
                      </a:prstGeom>
                      <a:noFill/>
                      <a:ln w="9525" cap="flat" cmpd="sng">
                        <a:solidFill>
                          <a:srgbClr val="006A66"/>
                        </a:solidFill>
                        <a:prstDash val="solid"/>
                        <a:miter lim="800000"/>
                        <a:headEnd type="none" w="sm" len="sm"/>
                        <a:tailEnd type="none" w="sm" len="sm"/>
                      </a:ln>
                    </wps:spPr>
                    <wps:bodyPr/>
                  </wps:wsp>
                </a:graphicData>
              </a:graphic>
            </wp:anchor>
          </w:drawing>
        </mc:Choice>
        <mc:Fallback xmlns:a="http://schemas.openxmlformats.org/drawingml/2006/main">
          <w:pict>
            <v:shapetype id="_x0000_t32" coordsize="21600,21600" o:oned="t" filled="f" o:spt="32" path="m,l21600,21600e" w14:anchorId="347C0EEF">
              <v:path fillok="f" arrowok="t" o:connecttype="none"/>
              <o:lock v:ext="edit" shapetype="t"/>
            </v:shapetype>
            <v:shape id="Straight Arrow Connector 7" style="position:absolute;margin-left:267.55pt;margin-top:13pt;width:0;height:1pt;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006a6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Da0QEAAJYDAAAOAAAAZHJzL2Uyb0RvYy54bWysU9uOEzEMfUfiH6K805kOu8Nu1ekKtSwv&#10;CFYCPsDNZSZSbopDp/17nLRsuTwgIV4SJ7ZPju2T9cPRWXZQCU3wA18uWs6UF0EaPw7865fHV3ec&#10;YQYvwQavBn5SyB82L1+s57hSXZiClSoxAvG4muPAp5zjqmlQTMoBLkJUnpw6JAeZjmlsZIKZ0J1t&#10;urbtmzkkGVMQCpFud2cn31R8rZXIn7RGlZkdOHHLdU113Ze12axhNSaIkxEXGvAPLBwYT48+Q+0g&#10;A/uWzB9QzogUMOi8EME1QWsjVK2Bqlm2v1XzeYKoai3UHIzPbcL/Bys+Hrb+KVEb5ogrjE+pVHHU&#10;yZWd+LHjwG+6m7u2pfadBv76TTEvjVPHzAQFdMv7vgYIiqi+5goSE+b3KjhWjIFjTmDGKW+D9zSe&#10;kJa1cXD4gJloUOKPhMLAh0djbZ2S9Wwe+P1td8uZANKKtpDJdFESqh8rDAZrZEkpyZjG/dYmdoAy&#10;/bZ/2/dl4PTEL2HlvR3gdI6rrrMunMkkTmvcwGvRl6onBfKdlyyfIinak655YYaOM6voF5BRCWcw&#10;9u9xxMZ6InXtf7H2QZ7qWOo9Db/Svgi1qOvnc82+fqfNdwAAAP//AwBQSwMEFAAGAAgAAAAhAAuS&#10;6gHcAAAACQEAAA8AAABkcnMvZG93bnJldi54bWxMjz1PwzAQhnck/oN1SGzUaUtLFOJUUJWlytKW&#10;gdGNr0lEfI5i56P/nkMMdLz3Hr0f6WayjRiw87UjBfNZBAKpcKamUsHn6eMpBuGDJqMbR6jgih42&#10;2f1dqhPjRjrgcAylYBPyiVZQhdAmUvqiQqv9zLVI/Lu4zurAZ1dK0+mRzW0jF1G0llbXxAmVbnFb&#10;YfF97K2Cftw97y/5vn7ZDq5d4nsef9lcqceH6e0VRMAp/MPwW5+rQ8adzq4n40WjYLVczRlVsFjz&#10;Jgb+hDMLcQQyS+XtguwHAAD//wMAUEsBAi0AFAAGAAgAAAAhALaDOJL+AAAA4QEAABMAAAAAAAAA&#10;AAAAAAAAAAAAAFtDb250ZW50X1R5cGVzXS54bWxQSwECLQAUAAYACAAAACEAOP0h/9YAAACUAQAA&#10;CwAAAAAAAAAAAAAAAAAvAQAAX3JlbHMvLnJlbHNQSwECLQAUAAYACAAAACEApZmw2tEBAACWAwAA&#10;DgAAAAAAAAAAAAAAAAAuAgAAZHJzL2Uyb0RvYy54bWxQSwECLQAUAAYACAAAACEAC5LqAdwAAAAJ&#10;AQAADwAAAAAAAAAAAAAAAAArBAAAZHJzL2Rvd25yZXYueG1sUEsFBgAAAAAEAAQA8wAAADQFAAAA&#10;AA==&#10;">
              <v:stroke joinstyle="miter" startarrowwidth="narrow" startarrowlength="short" endarrowwidth="narrow" endarrowlength="short"/>
            </v:shape>
          </w:pict>
        </mc:Fallback>
      </mc:AlternateContent>
    </w:r>
  </w:p>
  <w:p w14:paraId="305C6B0D" w14:textId="77777777" w:rsidR="00AA4EB0" w:rsidRDefault="00AA4EB0">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EABE1" w14:textId="77777777" w:rsidR="00383E53" w:rsidRDefault="00383E53">
      <w:pPr>
        <w:spacing w:before="0" w:after="0"/>
      </w:pPr>
      <w:r>
        <w:separator/>
      </w:r>
    </w:p>
  </w:footnote>
  <w:footnote w:type="continuationSeparator" w:id="0">
    <w:p w14:paraId="37FF8F0D" w14:textId="77777777" w:rsidR="00383E53" w:rsidRDefault="00383E53">
      <w:pPr>
        <w:spacing w:before="0" w:after="0"/>
      </w:pPr>
      <w:r>
        <w:continuationSeparator/>
      </w:r>
    </w:p>
  </w:footnote>
  <w:footnote w:id="1">
    <w:p w14:paraId="0372DF77" w14:textId="52E6E788" w:rsidR="00882EF0" w:rsidRPr="00963F6B" w:rsidRDefault="00882EF0" w:rsidP="00882EF0">
      <w:pPr>
        <w:pStyle w:val="FootnoteText"/>
        <w:rPr>
          <w:lang w:val="fr-FR"/>
        </w:rPr>
      </w:pPr>
      <w:r>
        <w:rPr>
          <w:rStyle w:val="FootnoteReference"/>
        </w:rPr>
        <w:footnoteRef/>
      </w:r>
      <w:r w:rsidRPr="00963F6B">
        <w:rPr>
          <w:lang w:val="fr-FR"/>
        </w:rPr>
        <w:t xml:space="preserve"> Forme de travail des enfants et des adolescents de moins de 18 ans dans des foyers tiers, où ils effectuent des tâches domestiques et des soins, tels que le ménage, la cuisine, la lessive, la garde d'enfants, de personnes âgées ou malades, et d'autres activités liées à l'entretien du foyer.</w:t>
      </w:r>
    </w:p>
    <w:p w14:paraId="7BD968F9" w14:textId="68F388EF" w:rsidR="00882EF0" w:rsidRPr="00963F6B" w:rsidRDefault="00882EF0">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6B0B" w14:textId="77777777" w:rsidR="00AA4EB0" w:rsidRDefault="00B010E4">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305C6B0E" wp14:editId="305C6B0F">
          <wp:simplePos x="0" y="0"/>
          <wp:positionH relativeFrom="column">
            <wp:posOffset>-892237</wp:posOffset>
          </wp:positionH>
          <wp:positionV relativeFrom="paragraph">
            <wp:posOffset>-442023</wp:posOffset>
          </wp:positionV>
          <wp:extent cx="7546073" cy="10673634"/>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6073" cy="106736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00DE3"/>
    <w:multiLevelType w:val="multilevel"/>
    <w:tmpl w:val="C354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E14C65"/>
    <w:multiLevelType w:val="multilevel"/>
    <w:tmpl w:val="E86C3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F35B3A"/>
    <w:multiLevelType w:val="hybridMultilevel"/>
    <w:tmpl w:val="11846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544E8C"/>
    <w:multiLevelType w:val="multilevel"/>
    <w:tmpl w:val="38AA6060"/>
    <w:lvl w:ilvl="0">
      <w:start w:val="1"/>
      <w:numFmt w:val="decimal"/>
      <w:lvlText w:val="%1."/>
      <w:lvlJc w:val="left"/>
      <w:pPr>
        <w:ind w:left="720" w:hanging="360"/>
      </w:pPr>
      <w:rPr>
        <w:b/>
        <w:bCs/>
        <w:color w:val="00666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25241E"/>
    <w:multiLevelType w:val="multilevel"/>
    <w:tmpl w:val="87AA27F6"/>
    <w:lvl w:ilvl="0">
      <w:start w:val="1"/>
      <w:numFmt w:val="decimal"/>
      <w:pStyle w:val="DocumentTyp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47A607C"/>
    <w:multiLevelType w:val="multilevel"/>
    <w:tmpl w:val="9594F2E2"/>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E10D69"/>
    <w:multiLevelType w:val="multilevel"/>
    <w:tmpl w:val="5F50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0011842">
    <w:abstractNumId w:val="5"/>
  </w:num>
  <w:num w:numId="2" w16cid:durableId="1114523478">
    <w:abstractNumId w:val="3"/>
  </w:num>
  <w:num w:numId="3" w16cid:durableId="1011680607">
    <w:abstractNumId w:val="4"/>
  </w:num>
  <w:num w:numId="4" w16cid:durableId="653295055">
    <w:abstractNumId w:val="1"/>
  </w:num>
  <w:num w:numId="5" w16cid:durableId="397440381">
    <w:abstractNumId w:val="0"/>
  </w:num>
  <w:num w:numId="6" w16cid:durableId="271205326">
    <w:abstractNumId w:val="6"/>
  </w:num>
  <w:num w:numId="7" w16cid:durableId="18976675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EB0"/>
    <w:rsid w:val="00015AA8"/>
    <w:rsid w:val="0002411F"/>
    <w:rsid w:val="00036141"/>
    <w:rsid w:val="00062645"/>
    <w:rsid w:val="000A0107"/>
    <w:rsid w:val="000A2F01"/>
    <w:rsid w:val="00132829"/>
    <w:rsid w:val="00155E94"/>
    <w:rsid w:val="0016607B"/>
    <w:rsid w:val="001C32B9"/>
    <w:rsid w:val="001F2D7F"/>
    <w:rsid w:val="001F34C8"/>
    <w:rsid w:val="001F3781"/>
    <w:rsid w:val="00230DD9"/>
    <w:rsid w:val="00260908"/>
    <w:rsid w:val="00277D27"/>
    <w:rsid w:val="00293E0E"/>
    <w:rsid w:val="002A16FE"/>
    <w:rsid w:val="002B21F1"/>
    <w:rsid w:val="002D2CEF"/>
    <w:rsid w:val="002D4B84"/>
    <w:rsid w:val="002D5F97"/>
    <w:rsid w:val="002E381E"/>
    <w:rsid w:val="002F3EBC"/>
    <w:rsid w:val="00314665"/>
    <w:rsid w:val="00317EFF"/>
    <w:rsid w:val="00341648"/>
    <w:rsid w:val="00343473"/>
    <w:rsid w:val="00346333"/>
    <w:rsid w:val="00353691"/>
    <w:rsid w:val="0035494E"/>
    <w:rsid w:val="00383E53"/>
    <w:rsid w:val="00395556"/>
    <w:rsid w:val="003B2E96"/>
    <w:rsid w:val="003C4D2C"/>
    <w:rsid w:val="003D1E16"/>
    <w:rsid w:val="003E7977"/>
    <w:rsid w:val="00430863"/>
    <w:rsid w:val="00457D77"/>
    <w:rsid w:val="004626D8"/>
    <w:rsid w:val="00477264"/>
    <w:rsid w:val="00487AC2"/>
    <w:rsid w:val="004B2555"/>
    <w:rsid w:val="004D196D"/>
    <w:rsid w:val="004D1B78"/>
    <w:rsid w:val="004E0815"/>
    <w:rsid w:val="00555C0B"/>
    <w:rsid w:val="00591B05"/>
    <w:rsid w:val="005E4BC2"/>
    <w:rsid w:val="00653E6A"/>
    <w:rsid w:val="006761CE"/>
    <w:rsid w:val="006B171C"/>
    <w:rsid w:val="006D27B8"/>
    <w:rsid w:val="006D52A1"/>
    <w:rsid w:val="006F31A1"/>
    <w:rsid w:val="00721B3E"/>
    <w:rsid w:val="007601AB"/>
    <w:rsid w:val="007A59C7"/>
    <w:rsid w:val="007C666D"/>
    <w:rsid w:val="007F234A"/>
    <w:rsid w:val="007F74B1"/>
    <w:rsid w:val="0081028B"/>
    <w:rsid w:val="00823897"/>
    <w:rsid w:val="008303AC"/>
    <w:rsid w:val="008522B8"/>
    <w:rsid w:val="008633E2"/>
    <w:rsid w:val="00882EF0"/>
    <w:rsid w:val="0092598B"/>
    <w:rsid w:val="009309D6"/>
    <w:rsid w:val="00963F6B"/>
    <w:rsid w:val="00981B96"/>
    <w:rsid w:val="009B0AD4"/>
    <w:rsid w:val="00A2340A"/>
    <w:rsid w:val="00A37935"/>
    <w:rsid w:val="00A64245"/>
    <w:rsid w:val="00A9402C"/>
    <w:rsid w:val="00AA4EB0"/>
    <w:rsid w:val="00AB1963"/>
    <w:rsid w:val="00AB6764"/>
    <w:rsid w:val="00AC4697"/>
    <w:rsid w:val="00AD0855"/>
    <w:rsid w:val="00AE55B5"/>
    <w:rsid w:val="00B010E4"/>
    <w:rsid w:val="00B103D4"/>
    <w:rsid w:val="00B170EB"/>
    <w:rsid w:val="00B60FA4"/>
    <w:rsid w:val="00B7237E"/>
    <w:rsid w:val="00B803FC"/>
    <w:rsid w:val="00BE5184"/>
    <w:rsid w:val="00BF693D"/>
    <w:rsid w:val="00C13FB4"/>
    <w:rsid w:val="00C2638B"/>
    <w:rsid w:val="00C422D6"/>
    <w:rsid w:val="00C6733C"/>
    <w:rsid w:val="00C81964"/>
    <w:rsid w:val="00C96ECF"/>
    <w:rsid w:val="00CA05B4"/>
    <w:rsid w:val="00CC63D1"/>
    <w:rsid w:val="00CD0540"/>
    <w:rsid w:val="00CF5A1A"/>
    <w:rsid w:val="00D53830"/>
    <w:rsid w:val="00D77847"/>
    <w:rsid w:val="00D80B60"/>
    <w:rsid w:val="00DD178E"/>
    <w:rsid w:val="00E16B9F"/>
    <w:rsid w:val="00E70F87"/>
    <w:rsid w:val="00E9707B"/>
    <w:rsid w:val="00EA1EA0"/>
    <w:rsid w:val="00EC7AA2"/>
    <w:rsid w:val="00ED0161"/>
    <w:rsid w:val="00F20EAA"/>
    <w:rsid w:val="00F404C4"/>
    <w:rsid w:val="00FD4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C6AD4"/>
  <w15:docId w15:val="{2F98A7E2-F578-4ABA-B459-EBD2744BB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GB"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240"/>
      <w:jc w:val="left"/>
      <w:outlineLvl w:val="0"/>
    </w:pPr>
    <w:rPr>
      <w:rFonts w:ascii="Cera Pro" w:eastAsia="Cera Pro" w:hAnsi="Cera Pro" w:cs="Cera Pro"/>
      <w:b/>
      <w:bCs/>
      <w:color w:val="006A66"/>
      <w:sz w:val="50"/>
      <w:szCs w:val="50"/>
    </w:rPr>
  </w:style>
  <w:style w:type="paragraph" w:styleId="Heading2">
    <w:name w:val="heading 2"/>
    <w:basedOn w:val="Normal"/>
    <w:next w:val="Normal"/>
    <w:link w:val="Heading2Char"/>
    <w:uiPriority w:val="9"/>
    <w:unhideWhenUsed/>
    <w:qFormat/>
    <w:pPr>
      <w:keepNext/>
      <w:keepLines/>
      <w:spacing w:before="360"/>
      <w:ind w:left="720" w:hanging="180"/>
      <w:jc w:val="left"/>
      <w:outlineLvl w:val="1"/>
    </w:pPr>
    <w:rPr>
      <w:b/>
      <w:bCs/>
      <w:color w:val="006A66"/>
      <w:sz w:val="30"/>
      <w:szCs w:val="30"/>
    </w:rPr>
  </w:style>
  <w:style w:type="paragraph" w:styleId="Heading3">
    <w:name w:val="heading 3"/>
    <w:basedOn w:val="Normal"/>
    <w:next w:val="Normal"/>
    <w:link w:val="Heading3Char"/>
    <w:uiPriority w:val="9"/>
    <w:semiHidden/>
    <w:unhideWhenUsed/>
    <w:qFormat/>
    <w:pPr>
      <w:keepNext/>
      <w:keepLines/>
      <w:spacing w:before="360"/>
      <w:ind w:left="714" w:hanging="357"/>
      <w:jc w:val="left"/>
      <w:outlineLvl w:val="2"/>
    </w:pPr>
    <w:rPr>
      <w:b/>
      <w:bCs/>
      <w:color w:val="E5702A"/>
      <w:sz w:val="26"/>
      <w:szCs w:val="26"/>
    </w:rPr>
  </w:style>
  <w:style w:type="paragraph" w:styleId="Heading4">
    <w:name w:val="heading 4"/>
    <w:basedOn w:val="Normal"/>
    <w:next w:val="Normal"/>
    <w:link w:val="Heading4Char"/>
    <w:uiPriority w:val="9"/>
    <w:semiHidden/>
    <w:unhideWhenUsed/>
    <w:qFormat/>
    <w:pPr>
      <w:keepNext/>
      <w:keepLines/>
      <w:spacing w:before="240"/>
      <w:ind w:left="641" w:hanging="357"/>
      <w:outlineLvl w:val="3"/>
    </w:pPr>
    <w:rPr>
      <w:i/>
      <w:iCs/>
      <w:color w:val="E5702A"/>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basedOn w:val="DefaultParagraphFont"/>
    <w:link w:val="Heading1"/>
    <w:uiPriority w:val="9"/>
    <w:rsid w:val="00715E49"/>
    <w:rPr>
      <w:rFonts w:ascii="Cera Pro" w:eastAsia="Times New Roman" w:hAnsi="Cera Pro" w:cs="Times New Roman"/>
      <w:b/>
      <w:bCs/>
      <w:color w:val="006A66"/>
      <w:kern w:val="36"/>
      <w:sz w:val="50"/>
      <w:szCs w:val="48"/>
      <w:lang w:eastAsia="fr-FR"/>
    </w:rPr>
  </w:style>
  <w:style w:type="character" w:customStyle="1" w:styleId="Heading3Char">
    <w:name w:val="Heading 3 Char"/>
    <w:basedOn w:val="DefaultParagraphFont"/>
    <w:link w:val="Heading3"/>
    <w:uiPriority w:val="9"/>
    <w:rsid w:val="00715E49"/>
    <w:rPr>
      <w:rFonts w:ascii="Calibri" w:eastAsiaTheme="majorEastAsia" w:hAnsi="Calibri" w:cstheme="majorBidi"/>
      <w:b/>
      <w:color w:val="E5702A"/>
      <w:sz w:val="26"/>
    </w:rPr>
  </w:style>
  <w:style w:type="paragraph" w:styleId="NormalWeb">
    <w:name w:val="Normal (Web)"/>
    <w:basedOn w:val="Normal"/>
    <w:uiPriority w:val="99"/>
    <w:unhideWhenUsed/>
    <w:rsid w:val="00F436D2"/>
    <w:pPr>
      <w:spacing w:before="100" w:beforeAutospacing="1" w:after="100" w:afterAutospacing="1"/>
    </w:pPr>
    <w:rPr>
      <w:rFonts w:ascii="Times New Roman" w:eastAsia="Times New Roman" w:hAnsi="Times New Roman" w:cs="Times New Roman"/>
      <w:lang w:eastAsia="fr-FR"/>
    </w:rPr>
  </w:style>
  <w:style w:type="character" w:styleId="Hyperlink">
    <w:name w:val="Hyperlink"/>
    <w:basedOn w:val="DefaultParagraphFont"/>
    <w:uiPriority w:val="99"/>
    <w:semiHidden/>
    <w:unhideWhenUsed/>
    <w:rsid w:val="00F436D2"/>
    <w:rPr>
      <w:color w:val="0000FF"/>
      <w:u w:val="single"/>
    </w:rPr>
  </w:style>
  <w:style w:type="character" w:styleId="Emphasis">
    <w:name w:val="Emphasis"/>
    <w:basedOn w:val="DefaultParagraphFont"/>
    <w:uiPriority w:val="20"/>
    <w:qFormat/>
    <w:rsid w:val="00F436D2"/>
    <w:rPr>
      <w:i/>
      <w:iCs/>
    </w:rPr>
  </w:style>
  <w:style w:type="character" w:styleId="Strong">
    <w:name w:val="Strong"/>
    <w:basedOn w:val="DefaultParagraphFont"/>
    <w:uiPriority w:val="22"/>
    <w:qFormat/>
    <w:rsid w:val="00DF4D69"/>
    <w:rPr>
      <w:b/>
      <w:bCs/>
    </w:rPr>
  </w:style>
  <w:style w:type="character" w:styleId="FollowedHyperlink">
    <w:name w:val="FollowedHyperlink"/>
    <w:basedOn w:val="DefaultParagraphFont"/>
    <w:uiPriority w:val="99"/>
    <w:semiHidden/>
    <w:unhideWhenUsed/>
    <w:rsid w:val="00DF4D69"/>
    <w:rPr>
      <w:color w:val="954F72" w:themeColor="followedHyperlink"/>
      <w:u w:val="single"/>
    </w:rPr>
  </w:style>
  <w:style w:type="paragraph" w:styleId="Header">
    <w:name w:val="header"/>
    <w:basedOn w:val="Normal"/>
    <w:link w:val="HeaderChar"/>
    <w:uiPriority w:val="99"/>
    <w:unhideWhenUsed/>
    <w:rsid w:val="003F14C5"/>
    <w:pPr>
      <w:tabs>
        <w:tab w:val="center" w:pos="4536"/>
        <w:tab w:val="right" w:pos="9072"/>
      </w:tabs>
    </w:pPr>
  </w:style>
  <w:style w:type="character" w:customStyle="1" w:styleId="HeaderChar">
    <w:name w:val="Header Char"/>
    <w:basedOn w:val="DefaultParagraphFont"/>
    <w:link w:val="Header"/>
    <w:uiPriority w:val="99"/>
    <w:rsid w:val="003F14C5"/>
  </w:style>
  <w:style w:type="paragraph" w:styleId="Footer">
    <w:name w:val="footer"/>
    <w:basedOn w:val="Normal"/>
    <w:link w:val="FooterChar"/>
    <w:uiPriority w:val="99"/>
    <w:unhideWhenUsed/>
    <w:rsid w:val="003F14C5"/>
    <w:pPr>
      <w:tabs>
        <w:tab w:val="center" w:pos="4536"/>
        <w:tab w:val="right" w:pos="9072"/>
      </w:tabs>
    </w:pPr>
  </w:style>
  <w:style w:type="character" w:customStyle="1" w:styleId="FooterChar">
    <w:name w:val="Footer Char"/>
    <w:basedOn w:val="DefaultParagraphFont"/>
    <w:link w:val="Footer"/>
    <w:uiPriority w:val="99"/>
    <w:rsid w:val="003F14C5"/>
  </w:style>
  <w:style w:type="character" w:customStyle="1" w:styleId="Heading2Char">
    <w:name w:val="Heading 2 Char"/>
    <w:basedOn w:val="DefaultParagraphFont"/>
    <w:link w:val="Heading2"/>
    <w:uiPriority w:val="9"/>
    <w:rsid w:val="00715E49"/>
    <w:rPr>
      <w:rFonts w:eastAsiaTheme="majorEastAsia" w:cstheme="majorBidi"/>
      <w:b/>
      <w:color w:val="006A66"/>
      <w:sz w:val="30"/>
      <w:szCs w:val="26"/>
    </w:rPr>
  </w:style>
  <w:style w:type="character" w:customStyle="1" w:styleId="Heading4Char">
    <w:name w:val="Heading 4 Char"/>
    <w:basedOn w:val="DefaultParagraphFont"/>
    <w:link w:val="Heading4"/>
    <w:uiPriority w:val="9"/>
    <w:rsid w:val="00E16D2A"/>
    <w:rPr>
      <w:rFonts w:eastAsiaTheme="majorEastAsia" w:cstheme="majorBidi"/>
      <w:i/>
      <w:iCs/>
      <w:color w:val="E5702A"/>
    </w:rPr>
  </w:style>
  <w:style w:type="paragraph" w:styleId="NoSpacing">
    <w:name w:val="No Spacing"/>
    <w:uiPriority w:val="1"/>
    <w:qFormat/>
    <w:rsid w:val="00715E49"/>
    <w:rPr>
      <w:color w:val="006A66"/>
      <w:sz w:val="28"/>
    </w:rPr>
  </w:style>
  <w:style w:type="paragraph" w:customStyle="1" w:styleId="NormalBody">
    <w:name w:val="NormalBody"/>
    <w:basedOn w:val="Normal"/>
    <w:uiPriority w:val="9"/>
    <w:qFormat/>
    <w:rsid w:val="00D97CF7"/>
    <w:pPr>
      <w:spacing w:line="264" w:lineRule="auto"/>
      <w:jc w:val="left"/>
    </w:pPr>
    <w:rPr>
      <w:rFonts w:ascii="Noto Sans" w:hAnsi="Noto Sans" w:cs="Noto Sans"/>
      <w:sz w:val="18"/>
      <w:szCs w:val="18"/>
      <w:lang w:val="en-GB"/>
    </w:rPr>
  </w:style>
  <w:style w:type="table" w:styleId="TableGrid">
    <w:name w:val="Table Grid"/>
    <w:basedOn w:val="TableNormal"/>
    <w:uiPriority w:val="39"/>
    <w:rsid w:val="00FC0AE3"/>
    <w:rPr>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ype">
    <w:name w:val="DocumentType"/>
    <w:basedOn w:val="Normal"/>
    <w:next w:val="NormalBody"/>
    <w:qFormat/>
    <w:rsid w:val="00FC0AE3"/>
    <w:pPr>
      <w:keepNext/>
      <w:numPr>
        <w:numId w:val="3"/>
      </w:numPr>
      <w:spacing w:after="1080"/>
      <w:ind w:left="340" w:hanging="340"/>
      <w:contextualSpacing/>
      <w:jc w:val="left"/>
      <w:outlineLvl w:val="0"/>
    </w:pPr>
    <w:rPr>
      <w:rFonts w:ascii="Overpass" w:hAnsi="Overpass" w:cs="Noto Sans"/>
      <w:b/>
      <w:color w:val="FFFFFF" w:themeColor="background1"/>
      <w:spacing w:val="-16"/>
      <w:sz w:val="60"/>
      <w:szCs w:val="60"/>
      <w:lang w:val="en-GB"/>
    </w:rPr>
  </w:style>
  <w:style w:type="character" w:styleId="CommentReference">
    <w:name w:val="annotation reference"/>
    <w:basedOn w:val="DefaultParagraphFont"/>
    <w:uiPriority w:val="99"/>
    <w:semiHidden/>
    <w:unhideWhenUsed/>
    <w:rsid w:val="00FC0AE3"/>
    <w:rPr>
      <w:sz w:val="16"/>
      <w:szCs w:val="16"/>
    </w:rPr>
  </w:style>
  <w:style w:type="paragraph" w:styleId="CommentText">
    <w:name w:val="annotation text"/>
    <w:basedOn w:val="Normal"/>
    <w:link w:val="CommentTextChar"/>
    <w:uiPriority w:val="99"/>
    <w:unhideWhenUsed/>
    <w:rsid w:val="00FC0AE3"/>
    <w:pPr>
      <w:jc w:val="left"/>
    </w:pPr>
    <w:rPr>
      <w:rFonts w:ascii="Noto Sans" w:hAnsi="Noto Sans" w:cs="Noto Sans"/>
      <w:sz w:val="20"/>
      <w:szCs w:val="20"/>
      <w:lang w:val="en-GB"/>
    </w:rPr>
  </w:style>
  <w:style w:type="character" w:customStyle="1" w:styleId="CommentTextChar">
    <w:name w:val="Comment Text Char"/>
    <w:basedOn w:val="DefaultParagraphFont"/>
    <w:link w:val="CommentText"/>
    <w:uiPriority w:val="99"/>
    <w:rsid w:val="00FC0AE3"/>
    <w:rPr>
      <w:rFonts w:ascii="Noto Sans" w:hAnsi="Noto Sans" w:cs="Noto Sans"/>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sz w:val="22"/>
      <w:szCs w:val="22"/>
    </w:rPr>
    <w:tblPr>
      <w:tblStyleRowBandSize w:val="1"/>
      <w:tblStyleColBandSize w:val="1"/>
    </w:tblPr>
  </w:style>
  <w:style w:type="paragraph" w:styleId="ListParagraph">
    <w:name w:val="List Paragraph"/>
    <w:basedOn w:val="Normal"/>
    <w:uiPriority w:val="34"/>
    <w:qFormat/>
    <w:rsid w:val="003B2E96"/>
    <w:pPr>
      <w:ind w:left="720"/>
      <w:contextualSpacing/>
    </w:pPr>
  </w:style>
  <w:style w:type="paragraph" w:styleId="Revision">
    <w:name w:val="Revision"/>
    <w:hidden/>
    <w:uiPriority w:val="99"/>
    <w:semiHidden/>
    <w:rsid w:val="00230DD9"/>
    <w:pPr>
      <w:spacing w:before="0" w:after="0"/>
      <w:jc w:val="left"/>
    </w:pPr>
  </w:style>
  <w:style w:type="paragraph" w:styleId="CommentSubject">
    <w:name w:val="annotation subject"/>
    <w:basedOn w:val="CommentText"/>
    <w:next w:val="CommentText"/>
    <w:link w:val="CommentSubjectChar"/>
    <w:uiPriority w:val="99"/>
    <w:semiHidden/>
    <w:unhideWhenUsed/>
    <w:rsid w:val="00293E0E"/>
    <w:pPr>
      <w:jc w:val="both"/>
    </w:pPr>
    <w:rPr>
      <w:rFonts w:ascii="Calibri" w:hAnsi="Calibri" w:cs="Calibri"/>
      <w:b/>
      <w:bCs/>
      <w:lang w:val="en-CA"/>
    </w:rPr>
  </w:style>
  <w:style w:type="character" w:customStyle="1" w:styleId="CommentSubjectChar">
    <w:name w:val="Comment Subject Char"/>
    <w:basedOn w:val="CommentTextChar"/>
    <w:link w:val="CommentSubject"/>
    <w:uiPriority w:val="99"/>
    <w:semiHidden/>
    <w:rsid w:val="00293E0E"/>
    <w:rPr>
      <w:rFonts w:ascii="Noto Sans" w:hAnsi="Noto Sans" w:cs="Noto Sans"/>
      <w:b/>
      <w:bCs/>
      <w:sz w:val="20"/>
      <w:szCs w:val="20"/>
      <w:lang w:val="en-GB"/>
    </w:rPr>
  </w:style>
  <w:style w:type="paragraph" w:styleId="FootnoteText">
    <w:name w:val="footnote text"/>
    <w:basedOn w:val="Normal"/>
    <w:link w:val="FootnoteTextChar"/>
    <w:uiPriority w:val="99"/>
    <w:semiHidden/>
    <w:unhideWhenUsed/>
    <w:rsid w:val="00882EF0"/>
    <w:pPr>
      <w:spacing w:before="0" w:after="0"/>
    </w:pPr>
    <w:rPr>
      <w:sz w:val="20"/>
      <w:szCs w:val="20"/>
    </w:rPr>
  </w:style>
  <w:style w:type="character" w:customStyle="1" w:styleId="FootnoteTextChar">
    <w:name w:val="Footnote Text Char"/>
    <w:basedOn w:val="DefaultParagraphFont"/>
    <w:link w:val="FootnoteText"/>
    <w:uiPriority w:val="99"/>
    <w:semiHidden/>
    <w:rsid w:val="00882EF0"/>
    <w:rPr>
      <w:sz w:val="20"/>
      <w:szCs w:val="20"/>
    </w:rPr>
  </w:style>
  <w:style w:type="character" w:styleId="FootnoteReference">
    <w:name w:val="footnote reference"/>
    <w:basedOn w:val="DefaultParagraphFont"/>
    <w:uiPriority w:val="99"/>
    <w:semiHidden/>
    <w:unhideWhenUsed/>
    <w:rsid w:val="00882E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A8B7205F249D4E9B992FEA4869DDCF" ma:contentTypeVersion="30" ma:contentTypeDescription="Create a new document." ma:contentTypeScope="" ma:versionID="2491efe84bcd7a7ddd09cf214d3844d2">
  <xsd:schema xmlns:xsd="http://www.w3.org/2001/XMLSchema" xmlns:xs="http://www.w3.org/2001/XMLSchema" xmlns:p="http://schemas.microsoft.com/office/2006/metadata/properties" xmlns:ns2="ca717dfb-b23d-4791-9627-5bcaf166df5d" xmlns:ns3="cf9144f3-d197-4f2f-8075-bb23bc46f8ac" targetNamespace="http://schemas.microsoft.com/office/2006/metadata/properties" ma:root="true" ma:fieldsID="9c7f472dcf2e892e823297da953698bd" ns2:_="" ns3:_="">
    <xsd:import namespace="ca717dfb-b23d-4791-9627-5bcaf166df5d"/>
    <xsd:import namespace="cf9144f3-d197-4f2f-8075-bb23bc46f8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17dfb-b23d-4791-9627-5bcaf166df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932b82f-ee1f-4246-9d44-c1f8cdfbe54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rchiverLinkFileType" ma:index="27"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144f3-d197-4f2f-8075-bb23bc46f8a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01bee15-a9fd-47a7-8233-3d936fa4dece}" ma:internalName="TaxCatchAll" ma:showField="CatchAllData" ma:web="cf9144f3-d197-4f2f-8075-bb23bc46f8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XezLyVnPwfyK8hhhu1CT0UXq8g==">CgMxLjA4AHIhMUNWcFJBX0V5T3JtTUN6R2V2YndPcElfellBUjJpYkZ2</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ArchiverLinkFileType xmlns="ca717dfb-b23d-4791-9627-5bcaf166df5d" xsi:nil="true"/>
    <lcf76f155ced4ddcb4097134ff3c332f xmlns="ca717dfb-b23d-4791-9627-5bcaf166df5d">
      <Terms xmlns="http://schemas.microsoft.com/office/infopath/2007/PartnerControls"/>
    </lcf76f155ced4ddcb4097134ff3c332f>
    <TaxCatchAll xmlns="cf9144f3-d197-4f2f-8075-bb23bc46f8a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DD591-3BC6-45C9-9438-BE0D765C3A42}">
  <ds:schemaRefs>
    <ds:schemaRef ds:uri="http://schemas.microsoft.com/sharepoint/v3/contenttype/forms"/>
  </ds:schemaRefs>
</ds:datastoreItem>
</file>

<file path=customXml/itemProps2.xml><?xml version="1.0" encoding="utf-8"?>
<ds:datastoreItem xmlns:ds="http://schemas.openxmlformats.org/officeDocument/2006/customXml" ds:itemID="{392F938D-2CAB-4F9F-A03D-59DCE60FB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717dfb-b23d-4791-9627-5bcaf166df5d"/>
    <ds:schemaRef ds:uri="cf9144f3-d197-4f2f-8075-bb23bc46f8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8B2B9D5-A7E4-4D60-8A55-B357CB8A3EAD}">
  <ds:schemaRefs>
    <ds:schemaRef ds:uri="http://schemas.microsoft.com/office/2006/metadata/properties"/>
    <ds:schemaRef ds:uri="http://schemas.microsoft.com/office/infopath/2007/PartnerControls"/>
    <ds:schemaRef ds:uri="ca717dfb-b23d-4791-9627-5bcaf166df5d"/>
    <ds:schemaRef ds:uri="cf9144f3-d197-4f2f-8075-bb23bc46f8ac"/>
  </ds:schemaRefs>
</ds:datastoreItem>
</file>

<file path=customXml/itemProps5.xml><?xml version="1.0" encoding="utf-8"?>
<ds:datastoreItem xmlns:ds="http://schemas.openxmlformats.org/officeDocument/2006/customXml" ds:itemID="{1C97621D-D0F7-46C5-B92D-A911E00B3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1267</Words>
  <Characters>7351</Characters>
  <Application>Microsoft Office Word</Application>
  <DocSecurity>0</DocSecurity>
  <Lines>179</Lines>
  <Paragraphs>73</Paragraphs>
  <ScaleCrop>false</ScaleCrop>
  <HeadingPairs>
    <vt:vector size="2" baseType="variant">
      <vt:variant>
        <vt:lpstr>Title</vt:lpstr>
      </vt:variant>
      <vt:variant>
        <vt:i4>1</vt:i4>
      </vt:variant>
    </vt:vector>
  </HeadingPairs>
  <TitlesOfParts>
    <vt:vector size="1" baseType="lpstr">
      <vt:lpstr/>
    </vt:vector>
  </TitlesOfParts>
  <Company>ILO</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keywords>, docId:AD5E1FB07276811088752B80835D5FEE</cp:keywords>
  <cp:lastModifiedBy>Rodriguez, Pilar</cp:lastModifiedBy>
  <cp:revision>3</cp:revision>
  <dcterms:created xsi:type="dcterms:W3CDTF">2026-01-21T14:22:00Z</dcterms:created>
  <dcterms:modified xsi:type="dcterms:W3CDTF">2026-01-21T15:21:00Z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0x010100A5A8B7205F249D4E9B992FEA4869DDCF</vt:lpwstr>
  </property>
  <property fmtid="{D5CDD505-2E9C-101B-9397-08002B2CF9AE}" pid="3" name="MediaServiceImageTags">
    <vt:lpwstr/>
  </property>
</Properties>
</file>