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5C6AD4" w14:textId="77777777" w:rsidR="00AA4EB0" w:rsidRDefault="00B010E4">
      <w:pPr>
        <w:pStyle w:val="Heading1"/>
        <w:spacing w:before="0" w:after="0"/>
        <w:jc w:val="center"/>
        <w:rPr>
          <w:sz w:val="36"/>
          <w:szCs w:val="36"/>
        </w:rPr>
      </w:pPr>
      <w:r>
        <w:rPr>
          <w:rFonts w:ascii="Calibri" w:eastAsia="Calibri" w:hAnsi="Calibri" w:cs="Calibri"/>
          <w:b w:val="0"/>
          <w:bCs w:val="0"/>
          <w:sz w:val="28"/>
          <w:szCs w:val="28"/>
        </w:rPr>
        <w:t>Concept Note for a Side Event on</w:t>
      </w:r>
    </w:p>
    <w:p w14:paraId="67912F65" w14:textId="77777777" w:rsidR="0094690F" w:rsidRDefault="00B010E4">
      <w:pPr>
        <w:pStyle w:val="Heading1"/>
        <w:spacing w:before="0" w:after="0"/>
        <w:jc w:val="center"/>
        <w:rPr>
          <w:color w:val="ED7D31"/>
          <w:sz w:val="40"/>
          <w:szCs w:val="40"/>
          <w:lang w:val="en-GB"/>
        </w:rPr>
      </w:pPr>
      <w:r w:rsidRPr="002B039A">
        <w:rPr>
          <w:color w:val="ED7D31"/>
          <w:sz w:val="40"/>
          <w:szCs w:val="40"/>
          <w:lang w:val="en-GB"/>
        </w:rPr>
        <w:t>[</w:t>
      </w:r>
      <w:r w:rsidR="00C81964" w:rsidRPr="002B039A">
        <w:rPr>
          <w:color w:val="ED7D31"/>
          <w:sz w:val="40"/>
          <w:szCs w:val="40"/>
          <w:lang w:val="en-GB"/>
        </w:rPr>
        <w:t>Child</w:t>
      </w:r>
      <w:r w:rsidR="004D196D" w:rsidRPr="002B039A">
        <w:rPr>
          <w:color w:val="ED7D31"/>
          <w:sz w:val="40"/>
          <w:szCs w:val="40"/>
          <w:lang w:val="en-GB"/>
        </w:rPr>
        <w:t xml:space="preserve"> domestic</w:t>
      </w:r>
      <w:r w:rsidR="00C81964" w:rsidRPr="002B039A">
        <w:rPr>
          <w:color w:val="ED7D31"/>
          <w:sz w:val="40"/>
          <w:szCs w:val="40"/>
          <w:lang w:val="en-GB"/>
        </w:rPr>
        <w:t xml:space="preserve"> labour </w:t>
      </w:r>
      <w:r w:rsidR="00BF693D" w:rsidRPr="002B039A">
        <w:rPr>
          <w:color w:val="ED7D31"/>
          <w:sz w:val="40"/>
          <w:szCs w:val="40"/>
          <w:lang w:val="en-GB"/>
        </w:rPr>
        <w:t xml:space="preserve">in the context of the </w:t>
      </w:r>
    </w:p>
    <w:p w14:paraId="305C6AD5" w14:textId="4AA2EDFF" w:rsidR="00AA4EB0" w:rsidRPr="002B039A" w:rsidRDefault="00C81964">
      <w:pPr>
        <w:pStyle w:val="Heading1"/>
        <w:spacing w:before="0" w:after="0"/>
        <w:jc w:val="center"/>
        <w:rPr>
          <w:color w:val="ED7D31"/>
          <w:sz w:val="40"/>
          <w:szCs w:val="40"/>
          <w:lang w:val="en-GB"/>
        </w:rPr>
      </w:pPr>
      <w:r w:rsidRPr="002B039A">
        <w:rPr>
          <w:color w:val="ED7D31"/>
          <w:sz w:val="40"/>
          <w:szCs w:val="40"/>
          <w:lang w:val="en-GB"/>
        </w:rPr>
        <w:t>care economy</w:t>
      </w:r>
      <w:r w:rsidR="00B010E4" w:rsidRPr="002B039A">
        <w:rPr>
          <w:color w:val="ED7D31"/>
          <w:sz w:val="40"/>
          <w:szCs w:val="40"/>
          <w:lang w:val="en-GB"/>
        </w:rPr>
        <w:t>]</w:t>
      </w:r>
    </w:p>
    <w:p w14:paraId="305C6AD6" w14:textId="77777777" w:rsidR="00AA4EB0" w:rsidRDefault="00B010E4">
      <w:pPr>
        <w:pStyle w:val="Heading1"/>
        <w:spacing w:after="0"/>
        <w:jc w:val="center"/>
        <w:rPr>
          <w:rFonts w:ascii="Calibri" w:eastAsia="Calibri" w:hAnsi="Calibri" w:cs="Calibri"/>
          <w:b w:val="0"/>
          <w:bCs w:val="0"/>
          <w:sz w:val="28"/>
          <w:szCs w:val="28"/>
        </w:rPr>
      </w:pPr>
      <w:r>
        <w:rPr>
          <w:rFonts w:ascii="Calibri" w:eastAsia="Calibri" w:hAnsi="Calibri" w:cs="Calibri"/>
          <w:b w:val="0"/>
          <w:bCs w:val="0"/>
          <w:sz w:val="28"/>
          <w:szCs w:val="28"/>
        </w:rPr>
        <w:t>at the 6th Global Conference on the Elimination of Child Labour, Marrakech, Morocco</w:t>
      </w:r>
    </w:p>
    <w:p w14:paraId="305C6AD7" w14:textId="627603D5" w:rsidR="00AA4EB0" w:rsidRPr="0094690F" w:rsidRDefault="00B010E4">
      <w:pPr>
        <w:pStyle w:val="Heading1"/>
        <w:spacing w:after="0"/>
        <w:jc w:val="center"/>
        <w:rPr>
          <w:rFonts w:ascii="Calibri" w:eastAsia="Calibri" w:hAnsi="Calibri" w:cs="Calibri"/>
          <w:sz w:val="28"/>
          <w:szCs w:val="28"/>
          <w:lang w:val="en-GB"/>
        </w:rPr>
      </w:pPr>
      <w:r w:rsidRPr="0094690F">
        <w:rPr>
          <w:rFonts w:ascii="Calibri" w:eastAsia="Calibri" w:hAnsi="Calibri" w:cs="Calibri"/>
          <w:sz w:val="28"/>
          <w:szCs w:val="28"/>
          <w:lang w:val="en-GB"/>
        </w:rPr>
        <w:t>[</w:t>
      </w:r>
      <w:r w:rsidR="00EA1EA0" w:rsidRPr="0094690F">
        <w:rPr>
          <w:rFonts w:ascii="Calibri" w:eastAsia="Calibri" w:hAnsi="Calibri" w:cs="Calibri"/>
          <w:sz w:val="28"/>
          <w:szCs w:val="28"/>
          <w:lang w:val="en-GB"/>
        </w:rPr>
        <w:t>10 February 2026</w:t>
      </w:r>
      <w:r w:rsidRPr="0094690F">
        <w:rPr>
          <w:rFonts w:ascii="Calibri" w:eastAsia="Calibri" w:hAnsi="Calibri" w:cs="Calibri"/>
          <w:sz w:val="28"/>
          <w:szCs w:val="28"/>
          <w:lang w:val="en-GB"/>
        </w:rPr>
        <w:t>] | [</w:t>
      </w:r>
      <w:r w:rsidR="00EA1EA0" w:rsidRPr="0094690F">
        <w:rPr>
          <w:rFonts w:ascii="Calibri" w:eastAsia="Calibri" w:hAnsi="Calibri" w:cs="Calibri"/>
          <w:sz w:val="28"/>
          <w:szCs w:val="28"/>
          <w:lang w:val="en-GB"/>
        </w:rPr>
        <w:t xml:space="preserve">14.30 </w:t>
      </w:r>
      <w:r w:rsidR="005E4BC2" w:rsidRPr="0094690F">
        <w:rPr>
          <w:rFonts w:ascii="Calibri" w:eastAsia="Calibri" w:hAnsi="Calibri" w:cs="Calibri"/>
          <w:sz w:val="28"/>
          <w:szCs w:val="28"/>
          <w:lang w:val="en-GB"/>
        </w:rPr>
        <w:t>– 16.</w:t>
      </w:r>
      <w:r w:rsidR="0081028B" w:rsidRPr="0094690F">
        <w:rPr>
          <w:rFonts w:ascii="Calibri" w:eastAsia="Calibri" w:hAnsi="Calibri" w:cs="Calibri"/>
          <w:sz w:val="28"/>
          <w:szCs w:val="28"/>
          <w:lang w:val="en-GB"/>
        </w:rPr>
        <w:t>15</w:t>
      </w:r>
      <w:r w:rsidRPr="0094690F">
        <w:rPr>
          <w:rFonts w:ascii="Calibri" w:eastAsia="Calibri" w:hAnsi="Calibri" w:cs="Calibri"/>
          <w:sz w:val="28"/>
          <w:szCs w:val="28"/>
          <w:lang w:val="en-GB"/>
        </w:rPr>
        <w:t>] | [Online]</w:t>
      </w:r>
    </w:p>
    <w:p w14:paraId="305C6AD8" w14:textId="77777777" w:rsidR="00AA4EB0" w:rsidRPr="0094690F" w:rsidRDefault="00AA4EB0">
      <w:pPr>
        <w:rPr>
          <w:lang w:val="en-GB"/>
        </w:rPr>
      </w:pPr>
    </w:p>
    <w:p w14:paraId="305C6AD9" w14:textId="410A40A7" w:rsidR="00AA4EB0" w:rsidRPr="0094690F" w:rsidRDefault="0094690F" w:rsidP="0094690F">
      <w:pPr>
        <w:shd w:val="clear" w:color="auto" w:fill="E7E6E6" w:themeFill="background2"/>
        <w:jc w:val="center"/>
        <w:rPr>
          <w:lang w:val="en-GB"/>
        </w:rPr>
      </w:pPr>
      <w:r>
        <w:t>(</w:t>
      </w:r>
      <w:r w:rsidRPr="0094690F">
        <w:t>Unofficial translation. Original document in Spanish.</w:t>
      </w:r>
      <w:r>
        <w:t>)</w:t>
      </w:r>
    </w:p>
    <w:p w14:paraId="305C6ADA" w14:textId="77777777" w:rsidR="00AA4EB0" w:rsidRDefault="00B010E4">
      <w:pPr>
        <w:pStyle w:val="Heading2"/>
        <w:numPr>
          <w:ilvl w:val="0"/>
          <w:numId w:val="1"/>
        </w:numPr>
        <w:ind w:left="567" w:hanging="425"/>
        <w:rPr>
          <w:color w:val="ED7D31"/>
          <w:sz w:val="36"/>
          <w:szCs w:val="36"/>
        </w:rPr>
      </w:pPr>
      <w:r>
        <w:rPr>
          <w:color w:val="ED7D31"/>
          <w:sz w:val="36"/>
          <w:szCs w:val="36"/>
        </w:rPr>
        <w:t>Keywords</w:t>
      </w:r>
    </w:p>
    <w:p w14:paraId="305C6ADB" w14:textId="2DE66CE6" w:rsidR="00AA4EB0" w:rsidRPr="002B039A" w:rsidRDefault="00C81964">
      <w:pPr>
        <w:rPr>
          <w:color w:val="006A66"/>
          <w:sz w:val="28"/>
          <w:szCs w:val="28"/>
          <w:lang w:val="en-GB"/>
        </w:rPr>
      </w:pPr>
      <w:r w:rsidRPr="002B039A">
        <w:rPr>
          <w:color w:val="006A66"/>
          <w:sz w:val="28"/>
          <w:szCs w:val="28"/>
          <w:lang w:val="en-GB"/>
        </w:rPr>
        <w:t xml:space="preserve">Care economy; </w:t>
      </w:r>
      <w:r w:rsidR="003E7977" w:rsidRPr="002B039A">
        <w:rPr>
          <w:color w:val="006A66"/>
          <w:sz w:val="28"/>
          <w:szCs w:val="28"/>
          <w:lang w:val="en-GB"/>
        </w:rPr>
        <w:t xml:space="preserve">child </w:t>
      </w:r>
      <w:r w:rsidRPr="002B039A">
        <w:rPr>
          <w:color w:val="006A66"/>
          <w:sz w:val="28"/>
          <w:szCs w:val="28"/>
          <w:lang w:val="en-GB"/>
        </w:rPr>
        <w:t xml:space="preserve">domestic labour; care </w:t>
      </w:r>
      <w:r w:rsidR="000A0107" w:rsidRPr="002B039A">
        <w:rPr>
          <w:color w:val="006A66"/>
          <w:sz w:val="28"/>
          <w:szCs w:val="28"/>
          <w:lang w:val="en-GB"/>
        </w:rPr>
        <w:t>policies</w:t>
      </w:r>
      <w:r w:rsidRPr="002B039A">
        <w:rPr>
          <w:color w:val="006A66"/>
          <w:sz w:val="28"/>
          <w:szCs w:val="28"/>
          <w:lang w:val="en-GB"/>
        </w:rPr>
        <w:t xml:space="preserve">; prevention </w:t>
      </w:r>
      <w:r w:rsidR="004D1B78" w:rsidRPr="002B039A">
        <w:rPr>
          <w:color w:val="006A66"/>
          <w:sz w:val="28"/>
          <w:szCs w:val="28"/>
          <w:lang w:val="en-GB"/>
        </w:rPr>
        <w:t>of child labour</w:t>
      </w:r>
      <w:r w:rsidRPr="002B039A">
        <w:rPr>
          <w:color w:val="006A66"/>
          <w:sz w:val="28"/>
          <w:szCs w:val="28"/>
          <w:lang w:val="en-GB"/>
        </w:rPr>
        <w:t xml:space="preserve">; </w:t>
      </w:r>
      <w:r w:rsidR="00314665" w:rsidRPr="002B039A">
        <w:rPr>
          <w:color w:val="006A66"/>
          <w:sz w:val="28"/>
          <w:szCs w:val="28"/>
          <w:lang w:val="en-GB"/>
        </w:rPr>
        <w:t xml:space="preserve">paid and unpaid </w:t>
      </w:r>
      <w:r w:rsidR="00230DD9" w:rsidRPr="002B039A">
        <w:rPr>
          <w:color w:val="006A66"/>
          <w:sz w:val="28"/>
          <w:szCs w:val="28"/>
          <w:lang w:val="en-GB"/>
        </w:rPr>
        <w:t>care</w:t>
      </w:r>
      <w:r w:rsidR="00CF5A1A" w:rsidRPr="002B039A">
        <w:rPr>
          <w:color w:val="006A66"/>
          <w:sz w:val="28"/>
          <w:szCs w:val="28"/>
          <w:lang w:val="en-GB"/>
        </w:rPr>
        <w:t xml:space="preserve"> work</w:t>
      </w:r>
    </w:p>
    <w:p w14:paraId="305C6ADD" w14:textId="522C10ED" w:rsidR="00AA4EB0" w:rsidRDefault="00B010E4">
      <w:pPr>
        <w:pStyle w:val="Heading2"/>
        <w:numPr>
          <w:ilvl w:val="0"/>
          <w:numId w:val="1"/>
        </w:numPr>
        <w:ind w:left="567" w:hanging="425"/>
        <w:rPr>
          <w:color w:val="ED7D31"/>
          <w:sz w:val="36"/>
          <w:szCs w:val="36"/>
        </w:rPr>
      </w:pPr>
      <w:r>
        <w:rPr>
          <w:color w:val="ED7D31"/>
          <w:sz w:val="36"/>
          <w:szCs w:val="36"/>
        </w:rPr>
        <w:t>Background &amp; Rationale</w:t>
      </w:r>
    </w:p>
    <w:p w14:paraId="144618B5" w14:textId="0C5774C9" w:rsidR="008303AC" w:rsidRPr="002B039A" w:rsidRDefault="008303AC" w:rsidP="008303AC">
      <w:pPr>
        <w:pStyle w:val="NoSpacing"/>
        <w:rPr>
          <w:lang w:val="en-GB"/>
        </w:rPr>
      </w:pPr>
      <w:r w:rsidRPr="002B039A">
        <w:rPr>
          <w:lang w:val="en-GB"/>
        </w:rPr>
        <w:t xml:space="preserve">This side event seeks to give continuity and global visibility to the consensus </w:t>
      </w:r>
      <w:r w:rsidR="007F74B1" w:rsidRPr="002B039A">
        <w:rPr>
          <w:lang w:val="en-GB"/>
        </w:rPr>
        <w:t xml:space="preserve">reached in the </w:t>
      </w:r>
      <w:r w:rsidRPr="002B039A">
        <w:rPr>
          <w:lang w:val="en-GB"/>
        </w:rPr>
        <w:t>regional</w:t>
      </w:r>
      <w:r w:rsidR="007F74B1" w:rsidRPr="002B039A">
        <w:rPr>
          <w:lang w:val="en-GB"/>
        </w:rPr>
        <w:t xml:space="preserve"> consultations</w:t>
      </w:r>
      <w:r w:rsidRPr="002B039A">
        <w:rPr>
          <w:lang w:val="en-GB"/>
        </w:rPr>
        <w:t xml:space="preserve">, positioning </w:t>
      </w:r>
      <w:r w:rsidRPr="002B039A">
        <w:rPr>
          <w:b/>
          <w:bCs/>
          <w:lang w:val="en-GB"/>
        </w:rPr>
        <w:t xml:space="preserve">child domestic labour </w:t>
      </w:r>
      <w:r w:rsidR="009309D6" w:rsidRPr="002B039A">
        <w:rPr>
          <w:b/>
          <w:bCs/>
          <w:lang w:val="en-GB"/>
        </w:rPr>
        <w:t xml:space="preserve">in the context of the care economy </w:t>
      </w:r>
      <w:r w:rsidRPr="002B039A">
        <w:rPr>
          <w:lang w:val="en-GB"/>
        </w:rPr>
        <w:t>as a strategic axis for strengthening child labour prevention approaches and enriching the debates and outcomes of the Conference.</w:t>
      </w:r>
    </w:p>
    <w:p w14:paraId="42793825" w14:textId="2DF06EDA" w:rsidR="00E70F87" w:rsidRPr="002B039A" w:rsidRDefault="00E70F87" w:rsidP="00E70F87">
      <w:pPr>
        <w:pStyle w:val="NoSpacing"/>
        <w:rPr>
          <w:lang w:val="en-GB"/>
        </w:rPr>
      </w:pPr>
      <w:r w:rsidRPr="002B039A">
        <w:rPr>
          <w:lang w:val="en-GB"/>
        </w:rPr>
        <w:t>Child domestic work remains a complex and persistent reality,</w:t>
      </w:r>
      <w:r w:rsidR="00882EF0">
        <w:rPr>
          <w:rStyle w:val="FootnoteReference"/>
          <w:lang w:val="es-ES"/>
        </w:rPr>
        <w:footnoteReference w:id="1"/>
      </w:r>
      <w:r w:rsidRPr="002B039A">
        <w:rPr>
          <w:lang w:val="en-GB"/>
        </w:rPr>
        <w:t xml:space="preserve"> closely linked </w:t>
      </w:r>
      <w:r w:rsidR="00CA05B4" w:rsidRPr="002B039A">
        <w:rPr>
          <w:lang w:val="en-GB"/>
        </w:rPr>
        <w:t>to</w:t>
      </w:r>
      <w:r w:rsidRPr="002B039A">
        <w:rPr>
          <w:lang w:val="en-GB"/>
        </w:rPr>
        <w:t xml:space="preserve"> gender </w:t>
      </w:r>
      <w:r w:rsidR="00823897" w:rsidRPr="002B039A">
        <w:rPr>
          <w:lang w:val="en-GB"/>
        </w:rPr>
        <w:t xml:space="preserve">roles </w:t>
      </w:r>
      <w:r w:rsidRPr="002B039A">
        <w:rPr>
          <w:lang w:val="en-GB"/>
        </w:rPr>
        <w:t xml:space="preserve">and </w:t>
      </w:r>
      <w:r w:rsidR="00823897" w:rsidRPr="002B039A">
        <w:rPr>
          <w:lang w:val="en-GB"/>
        </w:rPr>
        <w:t xml:space="preserve">an unfair </w:t>
      </w:r>
      <w:r w:rsidRPr="002B039A">
        <w:rPr>
          <w:lang w:val="en-GB"/>
        </w:rPr>
        <w:t xml:space="preserve">social organisation of care </w:t>
      </w:r>
      <w:r w:rsidR="00AC4697" w:rsidRPr="002B039A">
        <w:rPr>
          <w:lang w:val="en-GB"/>
        </w:rPr>
        <w:t xml:space="preserve">that </w:t>
      </w:r>
      <w:r w:rsidR="00CA05B4" w:rsidRPr="002B039A">
        <w:rPr>
          <w:lang w:val="en-GB"/>
        </w:rPr>
        <w:t>overburdens women</w:t>
      </w:r>
      <w:r w:rsidRPr="002B039A">
        <w:rPr>
          <w:lang w:val="en-GB"/>
        </w:rPr>
        <w:t xml:space="preserve">. In most countries, girls </w:t>
      </w:r>
      <w:r w:rsidR="002E381E" w:rsidRPr="002B039A">
        <w:rPr>
          <w:lang w:val="en-GB"/>
        </w:rPr>
        <w:t xml:space="preserve">and adolescents </w:t>
      </w:r>
      <w:r w:rsidRPr="002B039A">
        <w:rPr>
          <w:lang w:val="en-GB"/>
        </w:rPr>
        <w:t>take on a disproportionate share of unpaid domestic and care work within households, as well as paid domestic work in third-party households. These activities often remain invisible in official statistics and beyond the reach of public policies, even though, when they involve long hours, dangerous tasks or responsibilities that interfere with education, health and personal development, they constitute forms of child domestic labour.</w:t>
      </w:r>
    </w:p>
    <w:p w14:paraId="57629E00" w14:textId="7255579E" w:rsidR="00BE5184" w:rsidRPr="002B039A" w:rsidRDefault="00E70F87" w:rsidP="00BE5184">
      <w:pPr>
        <w:pStyle w:val="NoSpacing"/>
        <w:rPr>
          <w:lang w:val="en-GB"/>
        </w:rPr>
      </w:pPr>
      <w:r w:rsidRPr="002B039A">
        <w:rPr>
          <w:lang w:val="en-GB"/>
        </w:rPr>
        <w:t xml:space="preserve">The care economy </w:t>
      </w:r>
      <w:r w:rsidR="00BE5184" w:rsidRPr="002B039A">
        <w:rPr>
          <w:lang w:val="en-GB"/>
        </w:rPr>
        <w:t xml:space="preserve">encompasses </w:t>
      </w:r>
      <w:r w:rsidR="00BE5184" w:rsidRPr="002B039A">
        <w:rPr>
          <w:i/>
          <w:iCs/>
          <w:lang w:val="en-GB"/>
        </w:rPr>
        <w:t xml:space="preserve">care work, both paid and unpaid, direct and indirect care, its provision inside and outside the home, as well as the people who </w:t>
      </w:r>
      <w:r w:rsidR="00BE5184" w:rsidRPr="002B039A">
        <w:rPr>
          <w:i/>
          <w:iCs/>
          <w:lang w:val="en-GB"/>
        </w:rPr>
        <w:lastRenderedPageBreak/>
        <w:t xml:space="preserve">provide and receive care and the employers and institutions that offer care </w:t>
      </w:r>
      <w:r w:rsidR="00BE5184" w:rsidRPr="002B039A">
        <w:rPr>
          <w:lang w:val="en-GB"/>
        </w:rPr>
        <w:t>(CIT Resolution 2024)</w:t>
      </w:r>
      <w:r w:rsidR="003C4D2C" w:rsidRPr="002B039A">
        <w:rPr>
          <w:lang w:val="en-GB"/>
        </w:rPr>
        <w:t xml:space="preserve">. </w:t>
      </w:r>
    </w:p>
    <w:p w14:paraId="4ADACAA1" w14:textId="3F0F85A5" w:rsidR="002A16FE" w:rsidRPr="002B039A" w:rsidRDefault="002A16FE" w:rsidP="00E70F87">
      <w:pPr>
        <w:pStyle w:val="NoSpacing"/>
        <w:rPr>
          <w:lang w:val="en-GB"/>
        </w:rPr>
      </w:pPr>
      <w:r w:rsidRPr="002B039A">
        <w:rPr>
          <w:lang w:val="en-GB"/>
        </w:rPr>
        <w:t xml:space="preserve">In </w:t>
      </w:r>
      <w:r w:rsidR="00AD0855" w:rsidRPr="002B039A">
        <w:rPr>
          <w:lang w:val="en-GB"/>
        </w:rPr>
        <w:t xml:space="preserve">many </w:t>
      </w:r>
      <w:r w:rsidRPr="002B039A">
        <w:rPr>
          <w:lang w:val="en-GB"/>
        </w:rPr>
        <w:t xml:space="preserve">countries, </w:t>
      </w:r>
      <w:r w:rsidR="00E70F87" w:rsidRPr="002B039A">
        <w:rPr>
          <w:lang w:val="en-GB"/>
        </w:rPr>
        <w:t xml:space="preserve">it is characterised by a </w:t>
      </w:r>
      <w:r w:rsidR="00AD0855" w:rsidRPr="002B039A">
        <w:rPr>
          <w:lang w:val="en-GB"/>
        </w:rPr>
        <w:t xml:space="preserve">highly </w:t>
      </w:r>
      <w:r w:rsidR="00E70F87" w:rsidRPr="002B039A">
        <w:rPr>
          <w:lang w:val="en-GB"/>
        </w:rPr>
        <w:t xml:space="preserve">feminised </w:t>
      </w:r>
      <w:r w:rsidR="00AD0855" w:rsidRPr="002B039A">
        <w:rPr>
          <w:lang w:val="en-GB"/>
        </w:rPr>
        <w:t>workforce</w:t>
      </w:r>
      <w:r w:rsidR="00E70F87" w:rsidRPr="002B039A">
        <w:rPr>
          <w:lang w:val="en-GB"/>
        </w:rPr>
        <w:t xml:space="preserve">, </w:t>
      </w:r>
      <w:r w:rsidR="00E9707B" w:rsidRPr="002B039A">
        <w:rPr>
          <w:lang w:val="en-GB"/>
        </w:rPr>
        <w:t xml:space="preserve">high </w:t>
      </w:r>
      <w:r w:rsidR="00E70F87" w:rsidRPr="002B039A">
        <w:rPr>
          <w:lang w:val="en-GB"/>
        </w:rPr>
        <w:t>levels of informality and</w:t>
      </w:r>
      <w:r w:rsidR="00E16B9F" w:rsidRPr="002B039A">
        <w:rPr>
          <w:lang w:val="en-GB"/>
        </w:rPr>
        <w:t xml:space="preserve">, in general, </w:t>
      </w:r>
      <w:r w:rsidR="00E70F87" w:rsidRPr="002B039A">
        <w:rPr>
          <w:lang w:val="en-GB"/>
        </w:rPr>
        <w:t xml:space="preserve">low economic and social recognition </w:t>
      </w:r>
      <w:r w:rsidR="00E16B9F" w:rsidRPr="002B039A">
        <w:rPr>
          <w:lang w:val="en-GB"/>
        </w:rPr>
        <w:t>linked to structural gender biases</w:t>
      </w:r>
      <w:r w:rsidR="00E70F87" w:rsidRPr="002B039A">
        <w:rPr>
          <w:lang w:val="en-GB"/>
        </w:rPr>
        <w:t xml:space="preserve">. </w:t>
      </w:r>
    </w:p>
    <w:p w14:paraId="25E146F5" w14:textId="408A8CBD" w:rsidR="00E70F87" w:rsidRPr="002B039A" w:rsidRDefault="00E70F87" w:rsidP="00E70F87">
      <w:pPr>
        <w:pStyle w:val="NoSpacing"/>
        <w:rPr>
          <w:lang w:val="en-GB"/>
        </w:rPr>
      </w:pPr>
      <w:r w:rsidRPr="002B039A">
        <w:rPr>
          <w:lang w:val="en-GB"/>
        </w:rPr>
        <w:t xml:space="preserve">Limitations </w:t>
      </w:r>
      <w:r w:rsidR="002D4B84" w:rsidRPr="002B039A">
        <w:rPr>
          <w:lang w:val="en-GB"/>
        </w:rPr>
        <w:t xml:space="preserve">in </w:t>
      </w:r>
      <w:r w:rsidR="00C422D6" w:rsidRPr="002B039A">
        <w:rPr>
          <w:lang w:val="en-GB"/>
        </w:rPr>
        <w:t xml:space="preserve">the provision </w:t>
      </w:r>
      <w:r w:rsidRPr="002B039A">
        <w:rPr>
          <w:lang w:val="en-GB"/>
        </w:rPr>
        <w:t>of</w:t>
      </w:r>
      <w:r w:rsidR="00C422D6" w:rsidRPr="002B039A">
        <w:rPr>
          <w:lang w:val="en-GB"/>
        </w:rPr>
        <w:t xml:space="preserve"> and </w:t>
      </w:r>
      <w:r w:rsidRPr="002B039A">
        <w:rPr>
          <w:lang w:val="en-GB"/>
        </w:rPr>
        <w:t xml:space="preserve">access to affordable, quality care services affect both girls </w:t>
      </w:r>
      <w:r w:rsidR="00C422D6" w:rsidRPr="002B039A">
        <w:rPr>
          <w:lang w:val="en-GB"/>
        </w:rPr>
        <w:t>and adolescents</w:t>
      </w:r>
      <w:r w:rsidRPr="002B039A">
        <w:rPr>
          <w:lang w:val="en-GB"/>
        </w:rPr>
        <w:t xml:space="preserve">, increasing their burden of </w:t>
      </w:r>
      <w:r w:rsidR="00AD0855" w:rsidRPr="002B039A">
        <w:rPr>
          <w:lang w:val="en-GB"/>
        </w:rPr>
        <w:t xml:space="preserve">unpaid </w:t>
      </w:r>
      <w:r w:rsidR="00EC7AA2" w:rsidRPr="002B039A">
        <w:rPr>
          <w:lang w:val="en-GB"/>
        </w:rPr>
        <w:t>care</w:t>
      </w:r>
      <w:r w:rsidRPr="002B039A">
        <w:rPr>
          <w:lang w:val="en-GB"/>
        </w:rPr>
        <w:t xml:space="preserve"> work </w:t>
      </w:r>
      <w:r w:rsidR="00CC63D1" w:rsidRPr="002B039A">
        <w:rPr>
          <w:lang w:val="en-GB"/>
        </w:rPr>
        <w:t>and school absenteeism</w:t>
      </w:r>
      <w:r w:rsidRPr="002B039A">
        <w:rPr>
          <w:lang w:val="en-GB"/>
        </w:rPr>
        <w:t>, as well as mothers and adult women, whose precarious working conditions can reinforce intergenerational cycles of poverty and child domestic labour.</w:t>
      </w:r>
    </w:p>
    <w:p w14:paraId="09891A21" w14:textId="37F3F82A" w:rsidR="004E0815" w:rsidRPr="002B039A" w:rsidRDefault="00E70F87" w:rsidP="00E70F87">
      <w:pPr>
        <w:pStyle w:val="NoSpacing"/>
        <w:rPr>
          <w:lang w:val="en-GB"/>
        </w:rPr>
      </w:pPr>
      <w:r w:rsidRPr="002B039A">
        <w:rPr>
          <w:lang w:val="en-GB"/>
        </w:rPr>
        <w:t xml:space="preserve">In this context, the side event "Child domestic labour in the context of the care economy" is aligned with the objectives of the 6th Global Conference on the Elimination of Child Labour, proposing a broader view of strategies for the prevention and elimination of child domestic labour. Integrating care policies with strategies to eliminate child domestic labour represents a strategic opportunity to simultaneously advance the protection of </w:t>
      </w:r>
      <w:r w:rsidR="00591B05" w:rsidRPr="002B039A">
        <w:rPr>
          <w:lang w:val="en-GB"/>
        </w:rPr>
        <w:t xml:space="preserve">girls, the labour market integration of adult women, </w:t>
      </w:r>
      <w:r w:rsidRPr="002B039A">
        <w:rPr>
          <w:lang w:val="en-GB"/>
        </w:rPr>
        <w:t xml:space="preserve">and the promotion of decent work and </w:t>
      </w:r>
      <w:r w:rsidR="00591B05" w:rsidRPr="002B039A">
        <w:rPr>
          <w:lang w:val="en-GB"/>
        </w:rPr>
        <w:t>social justice</w:t>
      </w:r>
      <w:r w:rsidRPr="002B039A">
        <w:rPr>
          <w:lang w:val="en-GB"/>
        </w:rPr>
        <w:t>.</w:t>
      </w:r>
    </w:p>
    <w:p w14:paraId="02470723" w14:textId="77777777" w:rsidR="003B2E96" w:rsidRPr="002B039A" w:rsidRDefault="003B2E96" w:rsidP="003B2E96">
      <w:pPr>
        <w:pStyle w:val="NoSpacing"/>
        <w:rPr>
          <w:lang w:val="en-GB"/>
        </w:rPr>
      </w:pPr>
    </w:p>
    <w:p w14:paraId="305C6ADF" w14:textId="77777777" w:rsidR="00AA4EB0" w:rsidRDefault="00B010E4">
      <w:pPr>
        <w:pStyle w:val="Heading2"/>
        <w:numPr>
          <w:ilvl w:val="0"/>
          <w:numId w:val="1"/>
        </w:numPr>
        <w:ind w:left="567" w:hanging="283"/>
        <w:rPr>
          <w:color w:val="ED7D31"/>
          <w:sz w:val="36"/>
          <w:szCs w:val="36"/>
        </w:rPr>
      </w:pPr>
      <w:r>
        <w:rPr>
          <w:color w:val="ED7D31"/>
          <w:sz w:val="36"/>
          <w:szCs w:val="36"/>
        </w:rPr>
        <w:t>Key Objectives</w:t>
      </w:r>
    </w:p>
    <w:p w14:paraId="74E2388C" w14:textId="6742D597" w:rsidR="003D1E16" w:rsidRPr="002B039A" w:rsidRDefault="004626D8" w:rsidP="004626D8">
      <w:pPr>
        <w:pStyle w:val="NoSpacing"/>
        <w:numPr>
          <w:ilvl w:val="0"/>
          <w:numId w:val="7"/>
        </w:numPr>
        <w:rPr>
          <w:lang w:val="en-GB"/>
        </w:rPr>
      </w:pPr>
      <w:r w:rsidRPr="002B039A">
        <w:rPr>
          <w:lang w:val="en-GB"/>
        </w:rPr>
        <w:t xml:space="preserve">Raise awareness </w:t>
      </w:r>
      <w:r w:rsidR="00ED0161" w:rsidRPr="002B039A">
        <w:rPr>
          <w:lang w:val="en-GB"/>
        </w:rPr>
        <w:t>of</w:t>
      </w:r>
      <w:r w:rsidRPr="002B039A">
        <w:rPr>
          <w:lang w:val="en-GB"/>
        </w:rPr>
        <w:t xml:space="preserve"> child domestic labour </w:t>
      </w:r>
      <w:r w:rsidR="00ED0161" w:rsidRPr="002B039A">
        <w:rPr>
          <w:lang w:val="en-GB"/>
        </w:rPr>
        <w:t xml:space="preserve">as a specific and persistent form of child labour, </w:t>
      </w:r>
      <w:r w:rsidRPr="002B039A">
        <w:rPr>
          <w:lang w:val="en-GB"/>
        </w:rPr>
        <w:t xml:space="preserve">particularly </w:t>
      </w:r>
      <w:r w:rsidR="003D1E16" w:rsidRPr="002B039A">
        <w:rPr>
          <w:lang w:val="en-GB"/>
        </w:rPr>
        <w:t xml:space="preserve">when it affects girls involved in domestic and </w:t>
      </w:r>
      <w:r w:rsidR="002F3EBC" w:rsidRPr="002B039A">
        <w:rPr>
          <w:lang w:val="en-GB"/>
        </w:rPr>
        <w:t>care</w:t>
      </w:r>
      <w:r w:rsidR="003D1E16" w:rsidRPr="002B039A">
        <w:rPr>
          <w:lang w:val="en-GB"/>
        </w:rPr>
        <w:t xml:space="preserve"> work, both paid and unpaid, which is often normalised and invisible.</w:t>
      </w:r>
    </w:p>
    <w:p w14:paraId="6FABB943" w14:textId="0B4A4954" w:rsidR="004626D8" w:rsidRPr="002B039A" w:rsidRDefault="004626D8" w:rsidP="004626D8">
      <w:pPr>
        <w:pStyle w:val="NoSpacing"/>
        <w:numPr>
          <w:ilvl w:val="0"/>
          <w:numId w:val="7"/>
        </w:numPr>
        <w:rPr>
          <w:lang w:val="en-GB"/>
        </w:rPr>
      </w:pPr>
      <w:r w:rsidRPr="002B039A">
        <w:rPr>
          <w:lang w:val="en-GB"/>
        </w:rPr>
        <w:t xml:space="preserve">Analyse the links between child domestic labour, gender and </w:t>
      </w:r>
      <w:r w:rsidR="008522B8" w:rsidRPr="002B039A">
        <w:rPr>
          <w:lang w:val="en-GB"/>
        </w:rPr>
        <w:t>the care</w:t>
      </w:r>
      <w:r w:rsidR="0016607B" w:rsidRPr="002B039A">
        <w:rPr>
          <w:lang w:val="en-GB"/>
        </w:rPr>
        <w:t xml:space="preserve"> economy</w:t>
      </w:r>
      <w:r w:rsidRPr="002B039A">
        <w:rPr>
          <w:lang w:val="en-GB"/>
        </w:rPr>
        <w:t xml:space="preserve">, highlighting how the lack </w:t>
      </w:r>
      <w:r w:rsidR="0002411F" w:rsidRPr="002B039A">
        <w:rPr>
          <w:lang w:val="en-GB"/>
        </w:rPr>
        <w:t xml:space="preserve">of </w:t>
      </w:r>
      <w:r w:rsidRPr="002B039A">
        <w:rPr>
          <w:lang w:val="en-GB"/>
        </w:rPr>
        <w:t xml:space="preserve">adequate care services </w:t>
      </w:r>
      <w:r w:rsidR="00B60FA4" w:rsidRPr="002B039A">
        <w:rPr>
          <w:lang w:val="en-GB"/>
        </w:rPr>
        <w:t xml:space="preserve">can increase </w:t>
      </w:r>
      <w:r w:rsidRPr="002B039A">
        <w:rPr>
          <w:lang w:val="en-GB"/>
        </w:rPr>
        <w:t>the risks of child domestic labour being perpetuated.</w:t>
      </w:r>
    </w:p>
    <w:p w14:paraId="29EF2312" w14:textId="1DAC1A26" w:rsidR="004626D8" w:rsidRPr="002B039A" w:rsidRDefault="004626D8" w:rsidP="004626D8">
      <w:pPr>
        <w:pStyle w:val="NoSpacing"/>
        <w:numPr>
          <w:ilvl w:val="0"/>
          <w:numId w:val="7"/>
        </w:numPr>
        <w:rPr>
          <w:lang w:val="en-GB"/>
        </w:rPr>
      </w:pPr>
      <w:r w:rsidRPr="002B039A">
        <w:rPr>
          <w:lang w:val="en-GB"/>
        </w:rPr>
        <w:t xml:space="preserve">Emphasise the role of care policies and systems as key tools for the </w:t>
      </w:r>
      <w:r w:rsidR="003D1E16" w:rsidRPr="002B039A">
        <w:rPr>
          <w:lang w:val="en-GB"/>
        </w:rPr>
        <w:t>structural</w:t>
      </w:r>
      <w:r w:rsidRPr="002B039A">
        <w:rPr>
          <w:lang w:val="en-GB"/>
        </w:rPr>
        <w:t xml:space="preserve"> prevention of child domestic labour.</w:t>
      </w:r>
    </w:p>
    <w:p w14:paraId="56E416F0" w14:textId="5259029A" w:rsidR="006B171C" w:rsidRPr="002B039A" w:rsidRDefault="004626D8" w:rsidP="004626D8">
      <w:pPr>
        <w:pStyle w:val="NoSpacing"/>
        <w:numPr>
          <w:ilvl w:val="0"/>
          <w:numId w:val="7"/>
        </w:numPr>
        <w:rPr>
          <w:lang w:val="en-GB"/>
        </w:rPr>
      </w:pPr>
      <w:r w:rsidRPr="002B039A">
        <w:rPr>
          <w:lang w:val="en-GB"/>
        </w:rPr>
        <w:t xml:space="preserve">Promote an integrated approach that links strategies for the eradication of child labour with policies on care, </w:t>
      </w:r>
      <w:r w:rsidR="006D27B8" w:rsidRPr="002B039A">
        <w:rPr>
          <w:lang w:val="en-GB"/>
        </w:rPr>
        <w:t xml:space="preserve">equality, </w:t>
      </w:r>
      <w:r w:rsidRPr="002B039A">
        <w:rPr>
          <w:lang w:val="en-GB"/>
        </w:rPr>
        <w:t>employment</w:t>
      </w:r>
      <w:r w:rsidR="006B171C" w:rsidRPr="002B039A">
        <w:rPr>
          <w:lang w:val="en-GB"/>
        </w:rPr>
        <w:t xml:space="preserve">, labour formalisation </w:t>
      </w:r>
      <w:r w:rsidRPr="002B039A">
        <w:rPr>
          <w:lang w:val="en-GB"/>
        </w:rPr>
        <w:t xml:space="preserve">and social protection. </w:t>
      </w:r>
    </w:p>
    <w:p w14:paraId="56213A63" w14:textId="7FE6DE1E" w:rsidR="004626D8" w:rsidRPr="002B039A" w:rsidRDefault="006B171C" w:rsidP="004626D8">
      <w:pPr>
        <w:pStyle w:val="NoSpacing"/>
        <w:numPr>
          <w:ilvl w:val="0"/>
          <w:numId w:val="7"/>
        </w:numPr>
        <w:rPr>
          <w:lang w:val="en-GB"/>
        </w:rPr>
      </w:pPr>
      <w:r w:rsidRPr="002B039A">
        <w:rPr>
          <w:lang w:val="en-GB"/>
        </w:rPr>
        <w:t>Strengthen the role of social dialogue and coordinated action between governments, employers' and workers' organisations and civil society to address child domestic labour from a care economy perspective.</w:t>
      </w:r>
    </w:p>
    <w:p w14:paraId="305C6AE1" w14:textId="77777777" w:rsidR="00AA4EB0" w:rsidRPr="006B171C" w:rsidRDefault="00B010E4">
      <w:pPr>
        <w:pStyle w:val="Heading2"/>
        <w:numPr>
          <w:ilvl w:val="0"/>
          <w:numId w:val="1"/>
        </w:numPr>
        <w:ind w:left="567" w:hanging="283"/>
        <w:rPr>
          <w:color w:val="ED7D31"/>
          <w:sz w:val="36"/>
          <w:szCs w:val="36"/>
          <w:lang w:val="es-ES"/>
        </w:rPr>
      </w:pPr>
      <w:r w:rsidRPr="006B171C">
        <w:rPr>
          <w:color w:val="ED7D31"/>
          <w:sz w:val="36"/>
          <w:szCs w:val="36"/>
          <w:lang w:val="es-ES"/>
        </w:rPr>
        <w:lastRenderedPageBreak/>
        <w:t>Expected Outcomes and Deliverables</w:t>
      </w:r>
    </w:p>
    <w:p w14:paraId="550544CC" w14:textId="77777777" w:rsidR="00B7237E" w:rsidRPr="002B039A" w:rsidRDefault="00B7237E" w:rsidP="00B7237E">
      <w:pPr>
        <w:numPr>
          <w:ilvl w:val="0"/>
          <w:numId w:val="5"/>
        </w:numPr>
        <w:pBdr>
          <w:top w:val="nil"/>
          <w:left w:val="nil"/>
          <w:bottom w:val="nil"/>
          <w:right w:val="nil"/>
          <w:between w:val="nil"/>
        </w:pBdr>
        <w:spacing w:line="264" w:lineRule="auto"/>
        <w:jc w:val="left"/>
        <w:rPr>
          <w:color w:val="006A66"/>
          <w:sz w:val="28"/>
          <w:szCs w:val="28"/>
          <w:lang w:val="en-GB"/>
        </w:rPr>
      </w:pPr>
      <w:r w:rsidRPr="002B039A">
        <w:rPr>
          <w:color w:val="006A66"/>
          <w:sz w:val="28"/>
          <w:szCs w:val="28"/>
          <w:lang w:val="en-GB"/>
        </w:rPr>
        <w:t>Greater awareness and understanding of child domestic labour in the care economy among conference participants.</w:t>
      </w:r>
    </w:p>
    <w:p w14:paraId="462D1F46" w14:textId="77777777" w:rsidR="00B7237E" w:rsidRPr="002B039A" w:rsidRDefault="00B7237E" w:rsidP="00B7237E">
      <w:pPr>
        <w:numPr>
          <w:ilvl w:val="0"/>
          <w:numId w:val="5"/>
        </w:numPr>
        <w:pBdr>
          <w:top w:val="nil"/>
          <w:left w:val="nil"/>
          <w:bottom w:val="nil"/>
          <w:right w:val="nil"/>
          <w:between w:val="nil"/>
        </w:pBdr>
        <w:spacing w:line="264" w:lineRule="auto"/>
        <w:jc w:val="left"/>
        <w:rPr>
          <w:color w:val="006A66"/>
          <w:sz w:val="28"/>
          <w:szCs w:val="28"/>
          <w:lang w:val="en-GB"/>
        </w:rPr>
      </w:pPr>
      <w:r w:rsidRPr="002B039A">
        <w:rPr>
          <w:color w:val="006A66"/>
          <w:sz w:val="28"/>
          <w:szCs w:val="28"/>
          <w:lang w:val="en-GB"/>
        </w:rPr>
        <w:t>Identification of key messages and policy recommendations to integrate the care economy into strategies for the prevention and eradication of child domestic labour.</w:t>
      </w:r>
    </w:p>
    <w:p w14:paraId="4C15A01D" w14:textId="77777777" w:rsidR="00B7237E" w:rsidRPr="002B039A" w:rsidRDefault="00B7237E" w:rsidP="00B7237E">
      <w:pPr>
        <w:numPr>
          <w:ilvl w:val="0"/>
          <w:numId w:val="5"/>
        </w:numPr>
        <w:pBdr>
          <w:top w:val="nil"/>
          <w:left w:val="nil"/>
          <w:bottom w:val="nil"/>
          <w:right w:val="nil"/>
          <w:between w:val="nil"/>
        </w:pBdr>
        <w:spacing w:line="264" w:lineRule="auto"/>
        <w:jc w:val="left"/>
        <w:rPr>
          <w:color w:val="006A66"/>
          <w:sz w:val="28"/>
          <w:szCs w:val="28"/>
          <w:lang w:val="en-GB"/>
        </w:rPr>
      </w:pPr>
      <w:r w:rsidRPr="002B039A">
        <w:rPr>
          <w:color w:val="006A66"/>
          <w:sz w:val="28"/>
          <w:szCs w:val="28"/>
          <w:lang w:val="en-GB"/>
        </w:rPr>
        <w:t>Exchange of experiences and good practices linking care policies, gender equality and the elimination of child domestic labour.</w:t>
      </w:r>
    </w:p>
    <w:p w14:paraId="74AC50A6" w14:textId="77777777" w:rsidR="00B7237E" w:rsidRPr="002B039A" w:rsidRDefault="00B7237E" w:rsidP="00B7237E">
      <w:pPr>
        <w:numPr>
          <w:ilvl w:val="0"/>
          <w:numId w:val="5"/>
        </w:numPr>
        <w:pBdr>
          <w:top w:val="nil"/>
          <w:left w:val="nil"/>
          <w:bottom w:val="nil"/>
          <w:right w:val="nil"/>
          <w:between w:val="nil"/>
        </w:pBdr>
        <w:spacing w:line="264" w:lineRule="auto"/>
        <w:jc w:val="left"/>
        <w:rPr>
          <w:color w:val="006A66"/>
          <w:sz w:val="28"/>
          <w:szCs w:val="28"/>
          <w:lang w:val="en-GB"/>
        </w:rPr>
      </w:pPr>
      <w:r w:rsidRPr="002B039A">
        <w:rPr>
          <w:color w:val="006A66"/>
          <w:sz w:val="28"/>
          <w:szCs w:val="28"/>
          <w:lang w:val="en-GB"/>
        </w:rPr>
        <w:t>Substantive contributions to the debates and outcome documents of the Conference, with an emphasis on prevention and integrated public policy approaches.</w:t>
      </w:r>
    </w:p>
    <w:p w14:paraId="380E6240" w14:textId="77777777" w:rsidR="00B7237E" w:rsidRPr="002B039A" w:rsidRDefault="00B7237E">
      <w:pPr>
        <w:pBdr>
          <w:top w:val="nil"/>
          <w:left w:val="nil"/>
          <w:bottom w:val="nil"/>
          <w:right w:val="nil"/>
          <w:between w:val="nil"/>
        </w:pBdr>
        <w:spacing w:line="264" w:lineRule="auto"/>
        <w:jc w:val="left"/>
        <w:rPr>
          <w:color w:val="006A66"/>
          <w:sz w:val="28"/>
          <w:szCs w:val="28"/>
          <w:lang w:val="en-GB"/>
        </w:rPr>
      </w:pPr>
    </w:p>
    <w:p w14:paraId="305C6AE9" w14:textId="77777777" w:rsidR="00AA4EB0" w:rsidRDefault="00B010E4">
      <w:pPr>
        <w:pStyle w:val="Heading2"/>
        <w:numPr>
          <w:ilvl w:val="0"/>
          <w:numId w:val="1"/>
        </w:numPr>
        <w:ind w:left="567" w:hanging="283"/>
        <w:rPr>
          <w:color w:val="ED7D31"/>
          <w:sz w:val="36"/>
          <w:szCs w:val="36"/>
        </w:rPr>
      </w:pPr>
      <w:r>
        <w:rPr>
          <w:color w:val="ED7D31"/>
          <w:sz w:val="36"/>
          <w:szCs w:val="36"/>
        </w:rPr>
        <w:t>Session Format</w:t>
      </w:r>
    </w:p>
    <w:p w14:paraId="5EB289B5" w14:textId="7553550E" w:rsidR="00981B96" w:rsidRPr="002B039A" w:rsidRDefault="00981B96" w:rsidP="00981B96">
      <w:pPr>
        <w:pStyle w:val="NoSpacing"/>
        <w:rPr>
          <w:lang w:val="en-GB"/>
        </w:rPr>
      </w:pPr>
      <w:r w:rsidRPr="002B039A">
        <w:rPr>
          <w:lang w:val="en-GB"/>
        </w:rPr>
        <w:t xml:space="preserve">The session will take the form of a panel discussion with questions and answers, with an estimated duration of two hours. The focus will be primarily on public policy, promoting exchange between different sectors and actors. The main language will be Spanish, with interpretation available as confirmed by the Conference Secretariat, through </w:t>
      </w:r>
      <w:r w:rsidR="008522B8" w:rsidRPr="002B039A">
        <w:rPr>
          <w:lang w:val="en-GB"/>
        </w:rPr>
        <w:t xml:space="preserve">the </w:t>
      </w:r>
      <w:r w:rsidR="001F3781" w:rsidRPr="002B039A">
        <w:rPr>
          <w:lang w:val="en-GB"/>
        </w:rPr>
        <w:t>Wordly</w:t>
      </w:r>
      <w:r w:rsidR="008522B8" w:rsidRPr="002B039A">
        <w:rPr>
          <w:lang w:val="en-GB"/>
        </w:rPr>
        <w:t xml:space="preserve"> application </w:t>
      </w:r>
      <w:r w:rsidR="001F3781" w:rsidRPr="002B039A">
        <w:rPr>
          <w:lang w:val="en-GB"/>
        </w:rPr>
        <w:t>(read and with audio).</w:t>
      </w:r>
    </w:p>
    <w:p w14:paraId="2239DB8E" w14:textId="77777777" w:rsidR="00981B96" w:rsidRPr="002B039A" w:rsidRDefault="00981B96">
      <w:pPr>
        <w:pBdr>
          <w:top w:val="nil"/>
          <w:left w:val="nil"/>
          <w:bottom w:val="nil"/>
          <w:right w:val="nil"/>
          <w:between w:val="nil"/>
        </w:pBdr>
        <w:spacing w:line="264" w:lineRule="auto"/>
        <w:jc w:val="left"/>
        <w:rPr>
          <w:color w:val="006A66"/>
          <w:sz w:val="28"/>
          <w:szCs w:val="28"/>
          <w:lang w:val="en-GB"/>
        </w:rPr>
      </w:pPr>
    </w:p>
    <w:p w14:paraId="305C6AEB" w14:textId="77777777" w:rsidR="00AA4EB0" w:rsidRDefault="00B010E4">
      <w:pPr>
        <w:pStyle w:val="Heading2"/>
        <w:numPr>
          <w:ilvl w:val="0"/>
          <w:numId w:val="1"/>
        </w:numPr>
        <w:ind w:left="567" w:hanging="283"/>
        <w:rPr>
          <w:color w:val="ED7D31"/>
          <w:sz w:val="36"/>
          <w:szCs w:val="36"/>
        </w:rPr>
      </w:pPr>
      <w:r>
        <w:rPr>
          <w:color w:val="ED7D31"/>
          <w:sz w:val="36"/>
          <w:szCs w:val="36"/>
        </w:rPr>
        <w:t>Proposed speakers and targeted audience</w:t>
      </w:r>
    </w:p>
    <w:p w14:paraId="17F3128A" w14:textId="77777777" w:rsidR="00132829" w:rsidRPr="00132829" w:rsidRDefault="00132829" w:rsidP="00132829">
      <w:pPr>
        <w:rPr>
          <w:color w:val="006A66"/>
          <w:sz w:val="28"/>
          <w:szCs w:val="28"/>
          <w:lang w:val="en-GB"/>
        </w:rPr>
      </w:pPr>
      <w:r w:rsidRPr="00132829">
        <w:rPr>
          <w:b/>
          <w:bCs/>
          <w:color w:val="006A66"/>
          <w:sz w:val="28"/>
          <w:szCs w:val="28"/>
          <w:lang w:val="en-GB"/>
        </w:rPr>
        <w:t>Speakers (to be confirmed):</w:t>
      </w:r>
    </w:p>
    <w:p w14:paraId="631AF978" w14:textId="1F06E9B7" w:rsidR="00132829" w:rsidRPr="002B039A" w:rsidRDefault="00132829" w:rsidP="00132829">
      <w:pPr>
        <w:numPr>
          <w:ilvl w:val="0"/>
          <w:numId w:val="6"/>
        </w:numPr>
        <w:rPr>
          <w:color w:val="006A66"/>
          <w:sz w:val="28"/>
          <w:szCs w:val="28"/>
          <w:lang w:val="en-GB"/>
        </w:rPr>
      </w:pPr>
      <w:r w:rsidRPr="002B039A">
        <w:rPr>
          <w:color w:val="006A66"/>
          <w:sz w:val="28"/>
          <w:szCs w:val="28"/>
          <w:lang w:val="en-GB"/>
        </w:rPr>
        <w:t xml:space="preserve">Government representatives responsible for care policies and child domestic labour. </w:t>
      </w:r>
    </w:p>
    <w:p w14:paraId="1CE1596C" w14:textId="77777777" w:rsidR="00132829" w:rsidRPr="002B039A" w:rsidRDefault="00132829" w:rsidP="00132829">
      <w:pPr>
        <w:numPr>
          <w:ilvl w:val="0"/>
          <w:numId w:val="6"/>
        </w:numPr>
        <w:rPr>
          <w:color w:val="006A66"/>
          <w:sz w:val="28"/>
          <w:szCs w:val="28"/>
          <w:lang w:val="en-GB"/>
        </w:rPr>
      </w:pPr>
      <w:r w:rsidRPr="002B039A">
        <w:rPr>
          <w:color w:val="006A66"/>
          <w:sz w:val="28"/>
          <w:szCs w:val="28"/>
          <w:lang w:val="en-GB"/>
        </w:rPr>
        <w:t>Representatives of employers' and workers' organisations.</w:t>
      </w:r>
    </w:p>
    <w:p w14:paraId="0C303C22" w14:textId="77777777" w:rsidR="00132829" w:rsidRPr="002B039A" w:rsidRDefault="00132829" w:rsidP="00132829">
      <w:pPr>
        <w:numPr>
          <w:ilvl w:val="0"/>
          <w:numId w:val="6"/>
        </w:numPr>
        <w:rPr>
          <w:color w:val="006A66"/>
          <w:sz w:val="28"/>
          <w:szCs w:val="28"/>
          <w:lang w:val="en-GB"/>
        </w:rPr>
      </w:pPr>
      <w:r w:rsidRPr="002B039A">
        <w:rPr>
          <w:color w:val="006A66"/>
          <w:sz w:val="28"/>
          <w:szCs w:val="28"/>
          <w:lang w:val="en-GB"/>
        </w:rPr>
        <w:t>Representatives of international organisations and civil society with experience in the care economy and child domestic labour.</w:t>
      </w:r>
    </w:p>
    <w:p w14:paraId="317FAB29" w14:textId="4170B1EF" w:rsidR="00132829" w:rsidRPr="002B039A" w:rsidRDefault="00132829" w:rsidP="00132829">
      <w:pPr>
        <w:numPr>
          <w:ilvl w:val="0"/>
          <w:numId w:val="6"/>
        </w:numPr>
        <w:rPr>
          <w:color w:val="006A66"/>
          <w:sz w:val="28"/>
          <w:szCs w:val="28"/>
          <w:lang w:val="en-GB"/>
        </w:rPr>
      </w:pPr>
      <w:r w:rsidRPr="002B039A">
        <w:rPr>
          <w:color w:val="006A66"/>
          <w:sz w:val="28"/>
          <w:szCs w:val="28"/>
          <w:lang w:val="en-GB"/>
        </w:rPr>
        <w:t>Experts in domestic work and care policies.</w:t>
      </w:r>
    </w:p>
    <w:p w14:paraId="5FAF7F77" w14:textId="718A42BE" w:rsidR="00353691" w:rsidRPr="002B039A" w:rsidRDefault="00B803FC" w:rsidP="00B803FC">
      <w:pPr>
        <w:pStyle w:val="NoSpacing"/>
        <w:rPr>
          <w:lang w:val="en-GB"/>
        </w:rPr>
      </w:pPr>
      <w:r w:rsidRPr="002B039A">
        <w:rPr>
          <w:b/>
          <w:bCs/>
          <w:lang w:val="en-GB"/>
        </w:rPr>
        <w:t xml:space="preserve">Target audience: </w:t>
      </w:r>
      <w:r w:rsidRPr="002B039A">
        <w:rPr>
          <w:lang w:val="en-GB"/>
        </w:rPr>
        <w:t>Public policy makers, social partners, civil society organisations, international organisations, academia and other actors involved in the eradication of child domestic labour and the design of care policies.</w:t>
      </w:r>
    </w:p>
    <w:p w14:paraId="305C6AED" w14:textId="77777777" w:rsidR="00AA4EB0" w:rsidRDefault="00B010E4">
      <w:pPr>
        <w:pStyle w:val="Heading2"/>
        <w:numPr>
          <w:ilvl w:val="0"/>
          <w:numId w:val="1"/>
        </w:numPr>
        <w:ind w:left="567" w:hanging="283"/>
        <w:rPr>
          <w:color w:val="ED7D31"/>
          <w:sz w:val="36"/>
          <w:szCs w:val="36"/>
        </w:rPr>
      </w:pPr>
      <w:r>
        <w:rPr>
          <w:color w:val="ED7D31"/>
          <w:sz w:val="36"/>
          <w:szCs w:val="36"/>
        </w:rPr>
        <w:lastRenderedPageBreak/>
        <w:t>Session Flow</w:t>
      </w:r>
    </w:p>
    <w:p w14:paraId="305C6AEF" w14:textId="7FCD1191" w:rsidR="00AA4EB0" w:rsidRDefault="00AA4EB0">
      <w:pPr>
        <w:pBdr>
          <w:top w:val="nil"/>
          <w:left w:val="nil"/>
          <w:bottom w:val="nil"/>
          <w:right w:val="nil"/>
          <w:between w:val="nil"/>
        </w:pBdr>
        <w:spacing w:line="264" w:lineRule="auto"/>
        <w:jc w:val="left"/>
        <w:rPr>
          <w:color w:val="006A66"/>
          <w:sz w:val="28"/>
          <w:szCs w:val="28"/>
        </w:rPr>
      </w:pPr>
    </w:p>
    <w:tbl>
      <w:tblPr>
        <w:tblStyle w:val="a"/>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3"/>
        <w:gridCol w:w="1990"/>
        <w:gridCol w:w="2126"/>
        <w:gridCol w:w="2835"/>
      </w:tblGrid>
      <w:tr w:rsidR="00AA4EB0" w14:paraId="305C6AF4" w14:textId="77777777" w:rsidTr="00260908">
        <w:tc>
          <w:tcPr>
            <w:tcW w:w="1833" w:type="dxa"/>
            <w:tcBorders>
              <w:bottom w:val="single" w:sz="4" w:space="0" w:color="000000"/>
            </w:tcBorders>
          </w:tcPr>
          <w:p w14:paraId="305C6AF0" w14:textId="77777777" w:rsidR="00AA4EB0" w:rsidRDefault="00B010E4">
            <w:pPr>
              <w:pBdr>
                <w:top w:val="nil"/>
                <w:left w:val="nil"/>
                <w:bottom w:val="nil"/>
                <w:right w:val="nil"/>
                <w:between w:val="nil"/>
              </w:pBdr>
              <w:spacing w:line="264" w:lineRule="auto"/>
              <w:jc w:val="left"/>
              <w:rPr>
                <w:color w:val="006A66"/>
                <w:sz w:val="28"/>
                <w:szCs w:val="28"/>
              </w:rPr>
            </w:pPr>
            <w:r>
              <w:rPr>
                <w:color w:val="006A66"/>
                <w:sz w:val="28"/>
                <w:szCs w:val="28"/>
              </w:rPr>
              <w:t>Slot</w:t>
            </w:r>
          </w:p>
        </w:tc>
        <w:tc>
          <w:tcPr>
            <w:tcW w:w="1990" w:type="dxa"/>
            <w:tcBorders>
              <w:bottom w:val="single" w:sz="4" w:space="0" w:color="000000"/>
            </w:tcBorders>
          </w:tcPr>
          <w:p w14:paraId="305C6AF1" w14:textId="77777777" w:rsidR="00AA4EB0" w:rsidRDefault="00B010E4">
            <w:pPr>
              <w:pBdr>
                <w:top w:val="nil"/>
                <w:left w:val="nil"/>
                <w:bottom w:val="nil"/>
                <w:right w:val="nil"/>
                <w:between w:val="nil"/>
              </w:pBdr>
              <w:spacing w:line="264" w:lineRule="auto"/>
              <w:jc w:val="left"/>
              <w:rPr>
                <w:color w:val="006A66"/>
                <w:sz w:val="28"/>
                <w:szCs w:val="28"/>
              </w:rPr>
            </w:pPr>
            <w:r>
              <w:rPr>
                <w:color w:val="006A66"/>
                <w:sz w:val="28"/>
                <w:szCs w:val="28"/>
              </w:rPr>
              <w:t>Segment</w:t>
            </w:r>
          </w:p>
        </w:tc>
        <w:tc>
          <w:tcPr>
            <w:tcW w:w="2126" w:type="dxa"/>
            <w:tcBorders>
              <w:bottom w:val="single" w:sz="4" w:space="0" w:color="000000"/>
            </w:tcBorders>
          </w:tcPr>
          <w:p w14:paraId="305C6AF2" w14:textId="77777777" w:rsidR="00AA4EB0" w:rsidRDefault="00B010E4">
            <w:pPr>
              <w:pBdr>
                <w:top w:val="nil"/>
                <w:left w:val="nil"/>
                <w:bottom w:val="nil"/>
                <w:right w:val="nil"/>
                <w:between w:val="nil"/>
              </w:pBdr>
              <w:spacing w:line="264" w:lineRule="auto"/>
              <w:jc w:val="left"/>
              <w:rPr>
                <w:color w:val="006A66"/>
                <w:sz w:val="28"/>
                <w:szCs w:val="28"/>
              </w:rPr>
            </w:pPr>
            <w:r>
              <w:rPr>
                <w:color w:val="006A66"/>
                <w:sz w:val="28"/>
                <w:szCs w:val="28"/>
              </w:rPr>
              <w:t>Lead</w:t>
            </w:r>
          </w:p>
        </w:tc>
        <w:tc>
          <w:tcPr>
            <w:tcW w:w="2835" w:type="dxa"/>
            <w:tcBorders>
              <w:bottom w:val="single" w:sz="4" w:space="0" w:color="000000"/>
            </w:tcBorders>
          </w:tcPr>
          <w:p w14:paraId="305C6AF3" w14:textId="77777777" w:rsidR="00AA4EB0" w:rsidRDefault="00B010E4">
            <w:pPr>
              <w:pBdr>
                <w:top w:val="nil"/>
                <w:left w:val="nil"/>
                <w:bottom w:val="nil"/>
                <w:right w:val="nil"/>
                <w:between w:val="nil"/>
              </w:pBdr>
              <w:spacing w:line="264" w:lineRule="auto"/>
              <w:jc w:val="left"/>
              <w:rPr>
                <w:color w:val="006A66"/>
                <w:sz w:val="28"/>
                <w:szCs w:val="28"/>
              </w:rPr>
            </w:pPr>
            <w:r>
              <w:rPr>
                <w:color w:val="006A66"/>
                <w:sz w:val="28"/>
                <w:szCs w:val="28"/>
              </w:rPr>
              <w:t>Description / Notes</w:t>
            </w:r>
          </w:p>
        </w:tc>
      </w:tr>
      <w:tr w:rsidR="00AA4EB0" w:rsidRPr="008522B8" w14:paraId="305C6AF9" w14:textId="77777777" w:rsidTr="00260908">
        <w:tc>
          <w:tcPr>
            <w:tcW w:w="1833" w:type="dxa"/>
            <w:tcBorders>
              <w:bottom w:val="single" w:sz="4" w:space="0" w:color="000000"/>
            </w:tcBorders>
          </w:tcPr>
          <w:p w14:paraId="305C6AF5" w14:textId="77777777" w:rsidR="00AA4EB0" w:rsidRDefault="00B010E4">
            <w:pPr>
              <w:pBdr>
                <w:top w:val="nil"/>
                <w:left w:val="nil"/>
                <w:bottom w:val="nil"/>
                <w:right w:val="nil"/>
                <w:between w:val="nil"/>
              </w:pBdr>
              <w:spacing w:line="264" w:lineRule="auto"/>
              <w:jc w:val="left"/>
              <w:rPr>
                <w:color w:val="006A66"/>
                <w:sz w:val="28"/>
                <w:szCs w:val="28"/>
              </w:rPr>
            </w:pPr>
            <w:r>
              <w:rPr>
                <w:color w:val="006A66"/>
                <w:sz w:val="28"/>
                <w:szCs w:val="28"/>
              </w:rPr>
              <w:t>3-5 mins</w:t>
            </w:r>
          </w:p>
        </w:tc>
        <w:tc>
          <w:tcPr>
            <w:tcW w:w="1990" w:type="dxa"/>
            <w:tcBorders>
              <w:bottom w:val="single" w:sz="4" w:space="0" w:color="000000"/>
            </w:tcBorders>
          </w:tcPr>
          <w:p w14:paraId="305C6AF6" w14:textId="656C7DEC" w:rsidR="00AA4EB0" w:rsidRDefault="00A64245">
            <w:pPr>
              <w:pBdr>
                <w:top w:val="nil"/>
                <w:left w:val="nil"/>
                <w:bottom w:val="nil"/>
                <w:right w:val="nil"/>
                <w:between w:val="nil"/>
              </w:pBdr>
              <w:spacing w:line="264" w:lineRule="auto"/>
              <w:jc w:val="left"/>
              <w:rPr>
                <w:color w:val="006A66"/>
                <w:sz w:val="28"/>
                <w:szCs w:val="28"/>
              </w:rPr>
            </w:pPr>
            <w:r>
              <w:rPr>
                <w:color w:val="006A66"/>
                <w:sz w:val="28"/>
                <w:szCs w:val="28"/>
              </w:rPr>
              <w:t>Opening</w:t>
            </w:r>
          </w:p>
        </w:tc>
        <w:tc>
          <w:tcPr>
            <w:tcW w:w="2126" w:type="dxa"/>
            <w:tcBorders>
              <w:bottom w:val="single" w:sz="4" w:space="0" w:color="000000"/>
            </w:tcBorders>
          </w:tcPr>
          <w:p w14:paraId="305C6AF7" w14:textId="77777777" w:rsidR="00AA4EB0" w:rsidRDefault="00B010E4">
            <w:pPr>
              <w:pBdr>
                <w:top w:val="nil"/>
                <w:left w:val="nil"/>
                <w:bottom w:val="nil"/>
                <w:right w:val="nil"/>
                <w:between w:val="nil"/>
              </w:pBdr>
              <w:spacing w:line="264" w:lineRule="auto"/>
              <w:jc w:val="left"/>
              <w:rPr>
                <w:color w:val="006A66"/>
                <w:sz w:val="28"/>
                <w:szCs w:val="28"/>
              </w:rPr>
            </w:pPr>
            <w:r>
              <w:rPr>
                <w:color w:val="006A66"/>
                <w:sz w:val="28"/>
                <w:szCs w:val="28"/>
              </w:rPr>
              <w:t>Moderator / MC</w:t>
            </w:r>
          </w:p>
        </w:tc>
        <w:tc>
          <w:tcPr>
            <w:tcW w:w="2835" w:type="dxa"/>
            <w:tcBorders>
              <w:bottom w:val="single" w:sz="4" w:space="0" w:color="000000"/>
            </w:tcBorders>
          </w:tcPr>
          <w:p w14:paraId="305C6AF8" w14:textId="1DB0042B" w:rsidR="00AA4EB0" w:rsidRPr="002B039A" w:rsidRDefault="00A64245">
            <w:pPr>
              <w:pBdr>
                <w:top w:val="nil"/>
                <w:left w:val="nil"/>
                <w:bottom w:val="nil"/>
                <w:right w:val="nil"/>
                <w:between w:val="nil"/>
              </w:pBdr>
              <w:spacing w:line="264" w:lineRule="auto"/>
              <w:jc w:val="left"/>
              <w:rPr>
                <w:color w:val="006A66"/>
                <w:sz w:val="28"/>
                <w:szCs w:val="28"/>
                <w:lang w:val="en-GB"/>
              </w:rPr>
            </w:pPr>
            <w:r w:rsidRPr="002B039A">
              <w:rPr>
                <w:color w:val="006A66"/>
                <w:sz w:val="28"/>
                <w:szCs w:val="28"/>
                <w:lang w:val="en-GB"/>
              </w:rPr>
              <w:t>Presentation of the session's objectives and approach</w:t>
            </w:r>
          </w:p>
        </w:tc>
      </w:tr>
      <w:tr w:rsidR="00AA4EB0" w:rsidRPr="008522B8" w14:paraId="305C6AFE" w14:textId="77777777" w:rsidTr="00260908">
        <w:trPr>
          <w:trHeight w:val="239"/>
        </w:trPr>
        <w:tc>
          <w:tcPr>
            <w:tcW w:w="1833" w:type="dxa"/>
            <w:tcBorders>
              <w:top w:val="single" w:sz="4" w:space="0" w:color="000000"/>
            </w:tcBorders>
          </w:tcPr>
          <w:p w14:paraId="305C6AFA" w14:textId="4D0BE3E0" w:rsidR="00AA4EB0" w:rsidRPr="00A64245" w:rsidRDefault="00A64245">
            <w:pPr>
              <w:pBdr>
                <w:top w:val="nil"/>
                <w:left w:val="nil"/>
                <w:bottom w:val="nil"/>
                <w:right w:val="nil"/>
                <w:between w:val="nil"/>
              </w:pBdr>
              <w:spacing w:line="264" w:lineRule="auto"/>
              <w:jc w:val="left"/>
              <w:rPr>
                <w:color w:val="006A66"/>
                <w:sz w:val="28"/>
                <w:szCs w:val="28"/>
                <w:lang w:val="es-ES"/>
              </w:rPr>
            </w:pPr>
            <w:r>
              <w:rPr>
                <w:color w:val="006A66"/>
                <w:sz w:val="28"/>
                <w:szCs w:val="28"/>
                <w:lang w:val="es-ES"/>
              </w:rPr>
              <w:t>20 min</w:t>
            </w:r>
          </w:p>
        </w:tc>
        <w:tc>
          <w:tcPr>
            <w:tcW w:w="1990" w:type="dxa"/>
            <w:tcBorders>
              <w:top w:val="single" w:sz="4" w:space="0" w:color="000000"/>
            </w:tcBorders>
          </w:tcPr>
          <w:p w14:paraId="305C6AFB" w14:textId="303585D5" w:rsidR="00AA4EB0" w:rsidRDefault="00A64245">
            <w:pPr>
              <w:pBdr>
                <w:top w:val="nil"/>
                <w:left w:val="nil"/>
                <w:bottom w:val="nil"/>
                <w:right w:val="nil"/>
                <w:between w:val="nil"/>
              </w:pBdr>
              <w:spacing w:line="264" w:lineRule="auto"/>
              <w:jc w:val="left"/>
              <w:rPr>
                <w:color w:val="006A66"/>
                <w:sz w:val="28"/>
                <w:szCs w:val="28"/>
              </w:rPr>
            </w:pPr>
            <w:r>
              <w:rPr>
                <w:color w:val="006A66"/>
                <w:sz w:val="28"/>
                <w:szCs w:val="28"/>
              </w:rPr>
              <w:t>Conceptual framework</w:t>
            </w:r>
          </w:p>
        </w:tc>
        <w:tc>
          <w:tcPr>
            <w:tcW w:w="2126" w:type="dxa"/>
            <w:tcBorders>
              <w:top w:val="single" w:sz="4" w:space="0" w:color="000000"/>
            </w:tcBorders>
          </w:tcPr>
          <w:p w14:paraId="305C6AFC" w14:textId="2C6C01B3" w:rsidR="00AA4EB0" w:rsidRDefault="00A64245">
            <w:pPr>
              <w:pBdr>
                <w:top w:val="nil"/>
                <w:left w:val="nil"/>
                <w:bottom w:val="nil"/>
                <w:right w:val="nil"/>
                <w:between w:val="nil"/>
              </w:pBdr>
              <w:spacing w:line="264" w:lineRule="auto"/>
              <w:jc w:val="left"/>
              <w:rPr>
                <w:color w:val="006A66"/>
                <w:sz w:val="28"/>
                <w:szCs w:val="28"/>
              </w:rPr>
            </w:pPr>
            <w:r>
              <w:rPr>
                <w:color w:val="006A66"/>
                <w:sz w:val="28"/>
                <w:szCs w:val="28"/>
              </w:rPr>
              <w:t>Keynote speaker</w:t>
            </w:r>
          </w:p>
        </w:tc>
        <w:tc>
          <w:tcPr>
            <w:tcW w:w="2835" w:type="dxa"/>
            <w:tcBorders>
              <w:top w:val="single" w:sz="4" w:space="0" w:color="000000"/>
            </w:tcBorders>
          </w:tcPr>
          <w:p w14:paraId="305C6AFD" w14:textId="3F44CCC6" w:rsidR="00AA4EB0" w:rsidRPr="002B039A" w:rsidRDefault="00A64245">
            <w:pPr>
              <w:pBdr>
                <w:top w:val="nil"/>
                <w:left w:val="nil"/>
                <w:bottom w:val="nil"/>
                <w:right w:val="nil"/>
                <w:between w:val="nil"/>
              </w:pBdr>
              <w:spacing w:line="264" w:lineRule="auto"/>
              <w:jc w:val="left"/>
              <w:rPr>
                <w:color w:val="006A66"/>
                <w:sz w:val="28"/>
                <w:szCs w:val="28"/>
                <w:lang w:val="en-GB"/>
              </w:rPr>
            </w:pPr>
            <w:r w:rsidRPr="002B039A">
              <w:rPr>
                <w:color w:val="006A66"/>
                <w:sz w:val="28"/>
                <w:szCs w:val="28"/>
                <w:lang w:val="en-GB"/>
              </w:rPr>
              <w:t>Link between child domestic labour and the care economy</w:t>
            </w:r>
          </w:p>
        </w:tc>
      </w:tr>
      <w:tr w:rsidR="00AA4EB0" w:rsidRPr="008522B8" w14:paraId="305C6B03" w14:textId="77777777" w:rsidTr="00260908">
        <w:tc>
          <w:tcPr>
            <w:tcW w:w="1833" w:type="dxa"/>
          </w:tcPr>
          <w:p w14:paraId="305C6AFF" w14:textId="5094E70B" w:rsidR="00AA4EB0" w:rsidRDefault="00A64245">
            <w:pPr>
              <w:pBdr>
                <w:top w:val="nil"/>
                <w:left w:val="nil"/>
                <w:bottom w:val="nil"/>
                <w:right w:val="nil"/>
                <w:between w:val="nil"/>
              </w:pBdr>
              <w:spacing w:line="264" w:lineRule="auto"/>
              <w:jc w:val="left"/>
              <w:rPr>
                <w:color w:val="006A66"/>
                <w:sz w:val="28"/>
                <w:szCs w:val="28"/>
              </w:rPr>
            </w:pPr>
            <w:r>
              <w:rPr>
                <w:color w:val="006A66"/>
                <w:sz w:val="28"/>
                <w:szCs w:val="28"/>
              </w:rPr>
              <w:t>50 min</w:t>
            </w:r>
          </w:p>
        </w:tc>
        <w:tc>
          <w:tcPr>
            <w:tcW w:w="1990" w:type="dxa"/>
          </w:tcPr>
          <w:p w14:paraId="305C6B00" w14:textId="31BDDEF2" w:rsidR="00AA4EB0" w:rsidRDefault="007A59C7">
            <w:pPr>
              <w:pBdr>
                <w:top w:val="nil"/>
                <w:left w:val="nil"/>
                <w:bottom w:val="nil"/>
                <w:right w:val="nil"/>
                <w:between w:val="nil"/>
              </w:pBdr>
              <w:spacing w:line="264" w:lineRule="auto"/>
              <w:ind w:left="360"/>
              <w:jc w:val="left"/>
              <w:rPr>
                <w:color w:val="006A66"/>
                <w:sz w:val="28"/>
                <w:szCs w:val="28"/>
              </w:rPr>
            </w:pPr>
            <w:r>
              <w:rPr>
                <w:color w:val="006A66"/>
                <w:sz w:val="28"/>
                <w:szCs w:val="28"/>
              </w:rPr>
              <w:t>Discussion</w:t>
            </w:r>
            <w:r w:rsidR="00A64245">
              <w:rPr>
                <w:color w:val="006A66"/>
                <w:sz w:val="28"/>
                <w:szCs w:val="28"/>
              </w:rPr>
              <w:t xml:space="preserve"> panel</w:t>
            </w:r>
          </w:p>
        </w:tc>
        <w:tc>
          <w:tcPr>
            <w:tcW w:w="2126" w:type="dxa"/>
          </w:tcPr>
          <w:p w14:paraId="305C6B01" w14:textId="27A1A597" w:rsidR="00AA4EB0" w:rsidRDefault="00A64245">
            <w:pPr>
              <w:pBdr>
                <w:top w:val="nil"/>
                <w:left w:val="nil"/>
                <w:bottom w:val="nil"/>
                <w:right w:val="nil"/>
                <w:between w:val="nil"/>
              </w:pBdr>
              <w:spacing w:line="264" w:lineRule="auto"/>
              <w:jc w:val="left"/>
              <w:rPr>
                <w:color w:val="006A66"/>
                <w:sz w:val="28"/>
                <w:szCs w:val="28"/>
              </w:rPr>
            </w:pPr>
            <w:r>
              <w:rPr>
                <w:color w:val="006A66"/>
                <w:sz w:val="28"/>
                <w:szCs w:val="28"/>
              </w:rPr>
              <w:t>Panellists</w:t>
            </w:r>
          </w:p>
        </w:tc>
        <w:tc>
          <w:tcPr>
            <w:tcW w:w="2835" w:type="dxa"/>
          </w:tcPr>
          <w:p w14:paraId="305C6B02" w14:textId="3C353C22" w:rsidR="00AA4EB0" w:rsidRPr="002B039A" w:rsidRDefault="008633E2">
            <w:pPr>
              <w:pBdr>
                <w:top w:val="nil"/>
                <w:left w:val="nil"/>
                <w:bottom w:val="nil"/>
                <w:right w:val="nil"/>
                <w:between w:val="nil"/>
              </w:pBdr>
              <w:spacing w:line="264" w:lineRule="auto"/>
              <w:jc w:val="left"/>
              <w:rPr>
                <w:color w:val="006A66"/>
                <w:sz w:val="28"/>
                <w:szCs w:val="28"/>
                <w:lang w:val="en-GB"/>
              </w:rPr>
            </w:pPr>
            <w:r w:rsidRPr="002B039A">
              <w:rPr>
                <w:color w:val="006A66"/>
                <w:sz w:val="28"/>
                <w:szCs w:val="28"/>
                <w:lang w:val="en-GB"/>
              </w:rPr>
              <w:t>Exchange of experiences, policies and challenges</w:t>
            </w:r>
          </w:p>
        </w:tc>
      </w:tr>
      <w:tr w:rsidR="008633E2" w:rsidRPr="008633E2" w14:paraId="10B797EA" w14:textId="77777777" w:rsidTr="00260908">
        <w:tc>
          <w:tcPr>
            <w:tcW w:w="1833" w:type="dxa"/>
          </w:tcPr>
          <w:p w14:paraId="3541BA6E" w14:textId="2BCF8CEC" w:rsidR="008633E2" w:rsidRDefault="008633E2">
            <w:pPr>
              <w:pBdr>
                <w:top w:val="nil"/>
                <w:left w:val="nil"/>
                <w:bottom w:val="nil"/>
                <w:right w:val="nil"/>
                <w:between w:val="nil"/>
              </w:pBdr>
              <w:spacing w:line="264" w:lineRule="auto"/>
              <w:jc w:val="left"/>
              <w:rPr>
                <w:color w:val="006A66"/>
                <w:sz w:val="28"/>
                <w:szCs w:val="28"/>
              </w:rPr>
            </w:pPr>
            <w:r>
              <w:rPr>
                <w:color w:val="006A66"/>
                <w:sz w:val="28"/>
                <w:szCs w:val="28"/>
              </w:rPr>
              <w:t>25 min</w:t>
            </w:r>
          </w:p>
        </w:tc>
        <w:tc>
          <w:tcPr>
            <w:tcW w:w="1990" w:type="dxa"/>
          </w:tcPr>
          <w:p w14:paraId="3599D512" w14:textId="29E51D08" w:rsidR="008633E2" w:rsidRPr="002B039A" w:rsidRDefault="008633E2">
            <w:pPr>
              <w:pBdr>
                <w:top w:val="nil"/>
                <w:left w:val="nil"/>
                <w:bottom w:val="nil"/>
                <w:right w:val="nil"/>
                <w:between w:val="nil"/>
              </w:pBdr>
              <w:spacing w:line="264" w:lineRule="auto"/>
              <w:ind w:left="360"/>
              <w:jc w:val="left"/>
              <w:rPr>
                <w:color w:val="006A66"/>
                <w:sz w:val="28"/>
                <w:szCs w:val="28"/>
                <w:lang w:val="en-GB"/>
              </w:rPr>
            </w:pPr>
            <w:r w:rsidRPr="002B039A">
              <w:rPr>
                <w:color w:val="006A66"/>
                <w:sz w:val="28"/>
                <w:szCs w:val="28"/>
                <w:lang w:val="en-GB"/>
              </w:rPr>
              <w:t>Questions and answers from the audience</w:t>
            </w:r>
          </w:p>
        </w:tc>
        <w:tc>
          <w:tcPr>
            <w:tcW w:w="2126" w:type="dxa"/>
          </w:tcPr>
          <w:p w14:paraId="036130A7" w14:textId="77777777" w:rsidR="008633E2" w:rsidRDefault="008633E2">
            <w:pPr>
              <w:pBdr>
                <w:top w:val="nil"/>
                <w:left w:val="nil"/>
                <w:bottom w:val="nil"/>
                <w:right w:val="nil"/>
                <w:between w:val="nil"/>
              </w:pBdr>
              <w:spacing w:line="264" w:lineRule="auto"/>
              <w:jc w:val="left"/>
              <w:rPr>
                <w:color w:val="006A66"/>
                <w:sz w:val="28"/>
                <w:szCs w:val="28"/>
                <w:lang w:val="es-ES"/>
              </w:rPr>
            </w:pPr>
            <w:r>
              <w:rPr>
                <w:color w:val="006A66"/>
                <w:sz w:val="28"/>
                <w:szCs w:val="28"/>
                <w:lang w:val="es-ES"/>
              </w:rPr>
              <w:t>Moderator</w:t>
            </w:r>
          </w:p>
          <w:p w14:paraId="698FD579" w14:textId="332BCD05" w:rsidR="001F34C8" w:rsidRPr="008633E2" w:rsidRDefault="001F34C8">
            <w:pPr>
              <w:pBdr>
                <w:top w:val="nil"/>
                <w:left w:val="nil"/>
                <w:bottom w:val="nil"/>
                <w:right w:val="nil"/>
                <w:between w:val="nil"/>
              </w:pBdr>
              <w:spacing w:line="264" w:lineRule="auto"/>
              <w:jc w:val="left"/>
              <w:rPr>
                <w:color w:val="006A66"/>
                <w:sz w:val="28"/>
                <w:szCs w:val="28"/>
                <w:lang w:val="es-ES"/>
              </w:rPr>
            </w:pPr>
            <w:r>
              <w:rPr>
                <w:color w:val="006A66"/>
                <w:sz w:val="28"/>
                <w:szCs w:val="28"/>
                <w:lang w:val="es-ES"/>
              </w:rPr>
              <w:t>Panelists</w:t>
            </w:r>
          </w:p>
        </w:tc>
        <w:tc>
          <w:tcPr>
            <w:tcW w:w="2835" w:type="dxa"/>
          </w:tcPr>
          <w:p w14:paraId="4DFD7D2A" w14:textId="587A138F" w:rsidR="008633E2" w:rsidRDefault="008633E2">
            <w:pPr>
              <w:pBdr>
                <w:top w:val="nil"/>
                <w:left w:val="nil"/>
                <w:bottom w:val="nil"/>
                <w:right w:val="nil"/>
                <w:between w:val="nil"/>
              </w:pBdr>
              <w:spacing w:line="264" w:lineRule="auto"/>
              <w:jc w:val="left"/>
              <w:rPr>
                <w:color w:val="006A66"/>
                <w:sz w:val="28"/>
                <w:szCs w:val="28"/>
                <w:lang w:val="es-ES"/>
              </w:rPr>
            </w:pPr>
            <w:r>
              <w:rPr>
                <w:color w:val="006A66"/>
                <w:sz w:val="28"/>
                <w:szCs w:val="28"/>
                <w:lang w:val="es-ES"/>
              </w:rPr>
              <w:t xml:space="preserve">Questions </w:t>
            </w:r>
            <w:r w:rsidR="000A2F01">
              <w:rPr>
                <w:color w:val="006A66"/>
                <w:sz w:val="28"/>
                <w:szCs w:val="28"/>
                <w:lang w:val="es-ES"/>
              </w:rPr>
              <w:t xml:space="preserve">and </w:t>
            </w:r>
            <w:r>
              <w:rPr>
                <w:color w:val="006A66"/>
                <w:sz w:val="28"/>
                <w:szCs w:val="28"/>
                <w:lang w:val="es-ES"/>
              </w:rPr>
              <w:t xml:space="preserve">comments </w:t>
            </w:r>
          </w:p>
        </w:tc>
      </w:tr>
      <w:tr w:rsidR="000A2F01" w:rsidRPr="008522B8" w14:paraId="4F35D9E1" w14:textId="77777777" w:rsidTr="00260908">
        <w:tc>
          <w:tcPr>
            <w:tcW w:w="1833" w:type="dxa"/>
          </w:tcPr>
          <w:p w14:paraId="1F8662E6" w14:textId="6F52F2FD" w:rsidR="000A2F01" w:rsidRDefault="007A59C7">
            <w:pPr>
              <w:pBdr>
                <w:top w:val="nil"/>
                <w:left w:val="nil"/>
                <w:bottom w:val="nil"/>
                <w:right w:val="nil"/>
                <w:between w:val="nil"/>
              </w:pBdr>
              <w:spacing w:line="264" w:lineRule="auto"/>
              <w:jc w:val="left"/>
              <w:rPr>
                <w:color w:val="006A66"/>
                <w:sz w:val="28"/>
                <w:szCs w:val="28"/>
              </w:rPr>
            </w:pPr>
            <w:r>
              <w:rPr>
                <w:color w:val="006A66"/>
                <w:sz w:val="28"/>
                <w:szCs w:val="28"/>
              </w:rPr>
              <w:t>10 min</w:t>
            </w:r>
          </w:p>
        </w:tc>
        <w:tc>
          <w:tcPr>
            <w:tcW w:w="1990" w:type="dxa"/>
          </w:tcPr>
          <w:p w14:paraId="018CE627" w14:textId="0E115A0B" w:rsidR="000A2F01" w:rsidRPr="008633E2" w:rsidRDefault="007A59C7">
            <w:pPr>
              <w:pBdr>
                <w:top w:val="nil"/>
                <w:left w:val="nil"/>
                <w:bottom w:val="nil"/>
                <w:right w:val="nil"/>
                <w:between w:val="nil"/>
              </w:pBdr>
              <w:spacing w:line="264" w:lineRule="auto"/>
              <w:ind w:left="360"/>
              <w:jc w:val="left"/>
              <w:rPr>
                <w:color w:val="006A66"/>
                <w:sz w:val="28"/>
                <w:szCs w:val="28"/>
                <w:lang w:val="es-ES"/>
              </w:rPr>
            </w:pPr>
            <w:r>
              <w:rPr>
                <w:color w:val="006A66"/>
                <w:sz w:val="28"/>
                <w:szCs w:val="28"/>
                <w:lang w:val="es-ES"/>
              </w:rPr>
              <w:t>Closing</w:t>
            </w:r>
          </w:p>
        </w:tc>
        <w:tc>
          <w:tcPr>
            <w:tcW w:w="2126" w:type="dxa"/>
          </w:tcPr>
          <w:p w14:paraId="15661C6B" w14:textId="51911C77" w:rsidR="000A2F01" w:rsidRDefault="007A59C7">
            <w:pPr>
              <w:pBdr>
                <w:top w:val="nil"/>
                <w:left w:val="nil"/>
                <w:bottom w:val="nil"/>
                <w:right w:val="nil"/>
                <w:between w:val="nil"/>
              </w:pBdr>
              <w:spacing w:line="264" w:lineRule="auto"/>
              <w:jc w:val="left"/>
              <w:rPr>
                <w:color w:val="006A66"/>
                <w:sz w:val="28"/>
                <w:szCs w:val="28"/>
                <w:lang w:val="es-ES"/>
              </w:rPr>
            </w:pPr>
            <w:r>
              <w:rPr>
                <w:color w:val="006A66"/>
                <w:sz w:val="28"/>
                <w:szCs w:val="28"/>
                <w:lang w:val="es-ES"/>
              </w:rPr>
              <w:t>Moderation</w:t>
            </w:r>
          </w:p>
        </w:tc>
        <w:tc>
          <w:tcPr>
            <w:tcW w:w="2835" w:type="dxa"/>
          </w:tcPr>
          <w:p w14:paraId="095CFBD5" w14:textId="35752FC5" w:rsidR="000A2F01" w:rsidRPr="002B039A" w:rsidRDefault="007A59C7">
            <w:pPr>
              <w:pBdr>
                <w:top w:val="nil"/>
                <w:left w:val="nil"/>
                <w:bottom w:val="nil"/>
                <w:right w:val="nil"/>
                <w:between w:val="nil"/>
              </w:pBdr>
              <w:spacing w:line="264" w:lineRule="auto"/>
              <w:jc w:val="left"/>
              <w:rPr>
                <w:color w:val="006A66"/>
                <w:sz w:val="28"/>
                <w:szCs w:val="28"/>
                <w:lang w:val="en-GB"/>
              </w:rPr>
            </w:pPr>
            <w:r w:rsidRPr="002B039A">
              <w:rPr>
                <w:color w:val="006A66"/>
                <w:sz w:val="28"/>
                <w:szCs w:val="28"/>
                <w:lang w:val="en-GB"/>
              </w:rPr>
              <w:t>Summary of key messages and next steps</w:t>
            </w:r>
          </w:p>
        </w:tc>
      </w:tr>
    </w:tbl>
    <w:p w14:paraId="305C6B04" w14:textId="77777777" w:rsidR="00AA4EB0" w:rsidRPr="002B039A" w:rsidRDefault="00AA4EB0">
      <w:pPr>
        <w:rPr>
          <w:lang w:val="en-GB"/>
        </w:rPr>
      </w:pPr>
    </w:p>
    <w:p w14:paraId="0DEFF900" w14:textId="77777777" w:rsidR="00F20EAA" w:rsidRPr="002B039A" w:rsidRDefault="00F20EAA">
      <w:pPr>
        <w:rPr>
          <w:lang w:val="en-GB"/>
        </w:rPr>
      </w:pPr>
    </w:p>
    <w:p w14:paraId="305C6B05" w14:textId="77777777" w:rsidR="00AA4EB0" w:rsidRDefault="00B010E4">
      <w:pPr>
        <w:pStyle w:val="Heading2"/>
        <w:numPr>
          <w:ilvl w:val="0"/>
          <w:numId w:val="1"/>
        </w:numPr>
        <w:ind w:left="567" w:hanging="283"/>
        <w:rPr>
          <w:color w:val="ED7D31"/>
          <w:sz w:val="36"/>
          <w:szCs w:val="36"/>
        </w:rPr>
      </w:pPr>
      <w:r>
        <w:rPr>
          <w:color w:val="ED7D31"/>
          <w:sz w:val="36"/>
          <w:szCs w:val="36"/>
        </w:rPr>
        <w:t>About Organisers at the 6th Global Conference on the Elimination of Child Labour (optional)</w:t>
      </w:r>
    </w:p>
    <w:p w14:paraId="1261794A" w14:textId="5367D213" w:rsidR="00D53830" w:rsidRPr="002B039A" w:rsidRDefault="00B170EB" w:rsidP="00D53830">
      <w:pPr>
        <w:pStyle w:val="NoSpacing"/>
        <w:rPr>
          <w:lang w:val="en-GB"/>
        </w:rPr>
      </w:pPr>
      <w:r w:rsidRPr="002B039A">
        <w:rPr>
          <w:lang w:val="en-GB"/>
        </w:rPr>
        <w:t xml:space="preserve">This </w:t>
      </w:r>
      <w:r w:rsidR="00D53830" w:rsidRPr="002B039A">
        <w:rPr>
          <w:lang w:val="en-GB"/>
        </w:rPr>
        <w:t xml:space="preserve">side event is part of regional efforts promoted by the </w:t>
      </w:r>
      <w:r w:rsidR="00D53830" w:rsidRPr="002B039A">
        <w:rPr>
          <w:b/>
          <w:bCs/>
          <w:lang w:val="en-GB"/>
        </w:rPr>
        <w:t xml:space="preserve">Regional Initiative </w:t>
      </w:r>
      <w:r w:rsidR="00E41E3C" w:rsidRPr="002B039A">
        <w:rPr>
          <w:b/>
          <w:bCs/>
          <w:lang w:val="en-GB"/>
        </w:rPr>
        <w:t xml:space="preserve">Latin America and the Caribbean </w:t>
      </w:r>
      <w:r w:rsidR="00E41E3C">
        <w:rPr>
          <w:b/>
          <w:bCs/>
          <w:lang w:val="en-GB"/>
        </w:rPr>
        <w:t>Free of</w:t>
      </w:r>
      <w:r w:rsidR="00D53830" w:rsidRPr="002B039A">
        <w:rPr>
          <w:b/>
          <w:bCs/>
          <w:lang w:val="en-GB"/>
        </w:rPr>
        <w:t xml:space="preserve"> Child Labour</w:t>
      </w:r>
      <w:r w:rsidR="00E41E3C">
        <w:rPr>
          <w:b/>
          <w:bCs/>
          <w:lang w:val="en-GB"/>
        </w:rPr>
        <w:t xml:space="preserve"> </w:t>
      </w:r>
      <w:r w:rsidR="00D53830" w:rsidRPr="002B039A">
        <w:rPr>
          <w:b/>
          <w:bCs/>
          <w:lang w:val="en-GB"/>
        </w:rPr>
        <w:t>(R</w:t>
      </w:r>
      <w:r w:rsidR="00E41E3C">
        <w:rPr>
          <w:b/>
          <w:bCs/>
          <w:lang w:val="en-GB"/>
        </w:rPr>
        <w:t>ILAC</w:t>
      </w:r>
      <w:r w:rsidR="00D53830" w:rsidRPr="002B039A">
        <w:rPr>
          <w:b/>
          <w:bCs/>
          <w:lang w:val="en-GB"/>
        </w:rPr>
        <w:t>)</w:t>
      </w:r>
      <w:r w:rsidR="00D53830" w:rsidRPr="002B039A">
        <w:rPr>
          <w:lang w:val="en-GB"/>
        </w:rPr>
        <w:t xml:space="preserve">, a </w:t>
      </w:r>
      <w:r w:rsidRPr="002B039A">
        <w:rPr>
          <w:lang w:val="en-GB"/>
        </w:rPr>
        <w:t xml:space="preserve">tripartite regional </w:t>
      </w:r>
      <w:r w:rsidR="00D53830" w:rsidRPr="002B039A">
        <w:rPr>
          <w:lang w:val="en-GB"/>
        </w:rPr>
        <w:t xml:space="preserve">platform </w:t>
      </w:r>
      <w:r w:rsidRPr="002B039A">
        <w:rPr>
          <w:lang w:val="en-GB"/>
        </w:rPr>
        <w:t>whose technical secretariat is run by the ILO</w:t>
      </w:r>
      <w:r w:rsidR="00D53830" w:rsidRPr="002B039A">
        <w:rPr>
          <w:lang w:val="en-GB"/>
        </w:rPr>
        <w:t xml:space="preserve">, which </w:t>
      </w:r>
      <w:r w:rsidR="002D2CEF" w:rsidRPr="002B039A">
        <w:rPr>
          <w:lang w:val="en-GB"/>
        </w:rPr>
        <w:t xml:space="preserve">for more than 10 years </w:t>
      </w:r>
      <w:r w:rsidR="00D53830" w:rsidRPr="002B039A">
        <w:rPr>
          <w:lang w:val="en-GB"/>
        </w:rPr>
        <w:t>has played a central role in coordinating public policies and actions for the prevention and eradication of child labour in the region.</w:t>
      </w:r>
    </w:p>
    <w:p w14:paraId="4076BF0F" w14:textId="57FD51E8" w:rsidR="00D53830" w:rsidRPr="002B039A" w:rsidRDefault="00D53830" w:rsidP="00D53830">
      <w:pPr>
        <w:pStyle w:val="NoSpacing"/>
        <w:rPr>
          <w:lang w:val="en-GB"/>
        </w:rPr>
      </w:pPr>
      <w:r w:rsidRPr="002B039A">
        <w:rPr>
          <w:lang w:val="en-GB"/>
        </w:rPr>
        <w:lastRenderedPageBreak/>
        <w:t xml:space="preserve">In this context, the Tripartite Declaration of Brasilia (2024) </w:t>
      </w:r>
      <w:r w:rsidR="00343473" w:rsidRPr="002B039A">
        <w:rPr>
          <w:lang w:val="en-GB"/>
        </w:rPr>
        <w:t>of the Regional Initiative</w:t>
      </w:r>
      <w:r w:rsidRPr="002B039A">
        <w:rPr>
          <w:lang w:val="en-GB"/>
        </w:rPr>
        <w:t xml:space="preserve">, </w:t>
      </w:r>
      <w:r w:rsidR="00343473" w:rsidRPr="002B039A">
        <w:rPr>
          <w:lang w:val="en-GB"/>
        </w:rPr>
        <w:t xml:space="preserve">as well as the Tripartite </w:t>
      </w:r>
      <w:r w:rsidR="002D5F97" w:rsidRPr="002B039A">
        <w:rPr>
          <w:lang w:val="en-GB"/>
        </w:rPr>
        <w:t xml:space="preserve">Declaration </w:t>
      </w:r>
      <w:r w:rsidR="00343473" w:rsidRPr="002B039A">
        <w:rPr>
          <w:lang w:val="en-GB"/>
        </w:rPr>
        <w:t>of Punta Cana (</w:t>
      </w:r>
      <w:r w:rsidR="002D5F97" w:rsidRPr="002B039A">
        <w:rPr>
          <w:lang w:val="en-GB"/>
        </w:rPr>
        <w:t>2025)</w:t>
      </w:r>
      <w:r w:rsidRPr="002B039A">
        <w:rPr>
          <w:lang w:val="en-GB"/>
        </w:rPr>
        <w:t xml:space="preserve"> 20th American Regional Meeting of the ILO, reaffirm the priority of abolishing child labour, the sustained commitment to its prevention and eradication, and the protection of young people who have reached the minimum age for work. The Declaration also explicitly recognises the Regional Initiative </w:t>
      </w:r>
      <w:r w:rsidR="002B039A" w:rsidRPr="002B039A">
        <w:rPr>
          <w:lang w:val="en-GB"/>
        </w:rPr>
        <w:t xml:space="preserve">Latin America and the Caribbean Free </w:t>
      </w:r>
      <w:r w:rsidR="002B039A">
        <w:rPr>
          <w:lang w:val="en-GB"/>
        </w:rPr>
        <w:t>of</w:t>
      </w:r>
      <w:r w:rsidRPr="002B039A">
        <w:rPr>
          <w:lang w:val="en-GB"/>
        </w:rPr>
        <w:t xml:space="preserve"> Child Labour as an emblematic example of regional cooperation, called upon to continue leading efforts towards a region free of this phenomenon.</w:t>
      </w:r>
    </w:p>
    <w:p w14:paraId="268C7E9D" w14:textId="77777777" w:rsidR="00D53830" w:rsidRPr="002B039A" w:rsidRDefault="00D53830" w:rsidP="00D77847">
      <w:pPr>
        <w:pStyle w:val="NoSpacing"/>
        <w:rPr>
          <w:lang w:val="en-GB"/>
        </w:rPr>
      </w:pPr>
      <w:r w:rsidRPr="002B039A">
        <w:rPr>
          <w:lang w:val="en-GB"/>
        </w:rPr>
        <w:t>These political commitments were reinforced during the regional consultations in the Americas held in 2025 as part of the preparatory process for the 6th Global Conference on the Elimination of Child Labour. In these consultations, child domestic labour and its link to the care economy were highlighted as one of the priority issues for regional action, due to its structural nature, its strong gender dimension and its persistent invisibility in regulatory and public policy frameworks.</w:t>
      </w:r>
    </w:p>
    <w:p w14:paraId="305C6B08" w14:textId="77777777" w:rsidR="00AA4EB0" w:rsidRPr="002B039A" w:rsidRDefault="00AA4EB0">
      <w:pPr>
        <w:rPr>
          <w:lang w:val="en-GB"/>
        </w:rPr>
      </w:pPr>
    </w:p>
    <w:p w14:paraId="305C6B09" w14:textId="77777777" w:rsidR="00AA4EB0" w:rsidRPr="002B039A" w:rsidRDefault="00AA4EB0">
      <w:pPr>
        <w:rPr>
          <w:lang w:val="en-GB"/>
        </w:rPr>
      </w:pPr>
    </w:p>
    <w:p w14:paraId="305C6B0A" w14:textId="77777777" w:rsidR="00AA4EB0" w:rsidRPr="002B039A" w:rsidRDefault="00AA4EB0">
      <w:pPr>
        <w:tabs>
          <w:tab w:val="left" w:pos="7819"/>
        </w:tabs>
        <w:rPr>
          <w:color w:val="006A66"/>
          <w:sz w:val="28"/>
          <w:szCs w:val="28"/>
          <w:lang w:val="en-GB"/>
        </w:rPr>
      </w:pPr>
    </w:p>
    <w:sectPr w:rsidR="00AA4EB0" w:rsidRPr="002B039A">
      <w:headerReference w:type="default" r:id="rId12"/>
      <w:footerReference w:type="default" r:id="rId13"/>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B0AB45" w14:textId="77777777" w:rsidR="00B2054D" w:rsidRDefault="00B2054D">
      <w:pPr>
        <w:spacing w:before="0" w:after="0"/>
      </w:pPr>
      <w:r>
        <w:separator/>
      </w:r>
    </w:p>
  </w:endnote>
  <w:endnote w:type="continuationSeparator" w:id="0">
    <w:p w14:paraId="1E443961" w14:textId="77777777" w:rsidR="00B2054D" w:rsidRDefault="00B2054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4ADFC4DF-96F3-46DC-9186-27B5C94749F9}"/>
  </w:font>
  <w:font w:name="Calibri">
    <w:panose1 w:val="020F0502020204030204"/>
    <w:charset w:val="00"/>
    <w:family w:val="swiss"/>
    <w:pitch w:val="variable"/>
    <w:sig w:usb0="E4002EFF" w:usb1="C200247B" w:usb2="00000009" w:usb3="00000000" w:csb0="000001FF" w:csb1="00000000"/>
    <w:embedRegular r:id="rId2" w:fontKey="{7660E286-9131-4CB9-B080-6CB4ED019C69}"/>
    <w:embedBold r:id="rId3" w:fontKey="{BE5C1C6B-C7CB-4024-99AB-BCAE81CBCCD0}"/>
    <w:embedItalic r:id="rId4" w:fontKey="{3C10ECE3-7ED8-410A-95D6-C9D33A46A0E5}"/>
  </w:font>
  <w:font w:name="Cera Pro">
    <w:altName w:val="Calibri"/>
    <w:charset w:val="00"/>
    <w:family w:val="auto"/>
    <w:pitch w:val="default"/>
  </w:font>
  <w:font w:name="Noto Sans">
    <w:panose1 w:val="020B0502040504020204"/>
    <w:charset w:val="00"/>
    <w:family w:val="swiss"/>
    <w:pitch w:val="variable"/>
    <w:sig w:usb0="E00002FF" w:usb1="4000201F" w:usb2="08000029" w:usb3="00000000" w:csb0="0000019F" w:csb1="00000000"/>
    <w:embedRegular r:id="rId5" w:fontKey="{37969E19-9354-4AF0-89E6-AF136F72B4F5}"/>
    <w:embedBold r:id="rId6" w:fontKey="{EC8C7F3D-1652-4A29-AC89-58EDE79041C8}"/>
  </w:font>
  <w:font w:name="Overpass">
    <w:panose1 w:val="00000500000000000000"/>
    <w:charset w:val="00"/>
    <w:family w:val="auto"/>
    <w:pitch w:val="variable"/>
    <w:sig w:usb0="00000007" w:usb1="00000020" w:usb2="00000000" w:usb3="00000000" w:csb0="00000093" w:csb1="00000000"/>
    <w:embedBold r:id="rId7" w:fontKey="{AA64EC17-DA00-4D3C-A1AA-43B3402B4FF2}"/>
  </w:font>
  <w:font w:name="Georgia">
    <w:panose1 w:val="02040502050405020303"/>
    <w:charset w:val="00"/>
    <w:family w:val="roman"/>
    <w:pitch w:val="variable"/>
    <w:sig w:usb0="00000287" w:usb1="00000000" w:usb2="00000000" w:usb3="00000000" w:csb0="0000009F" w:csb1="00000000"/>
    <w:embedItalic r:id="rId8" w:fontKey="{12D7D503-A0D1-4670-AED9-C36DF6A53D45}"/>
  </w:font>
  <w:font w:name="Calibri Light">
    <w:panose1 w:val="020F0302020204030204"/>
    <w:charset w:val="00"/>
    <w:family w:val="swiss"/>
    <w:pitch w:val="variable"/>
    <w:sig w:usb0="E4002EFF" w:usb1="C200247B" w:usb2="00000009" w:usb3="00000000" w:csb0="000001FF" w:csb1="00000000"/>
    <w:embedRegular r:id="rId9" w:fontKey="{9CE661AE-C3A7-4435-9313-9E134B7B7D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C6B0C" w14:textId="7C8F5EA6" w:rsidR="00AA4EB0" w:rsidRDefault="00B010E4">
    <w:pPr>
      <w:pBdr>
        <w:top w:val="nil"/>
        <w:left w:val="nil"/>
        <w:bottom w:val="nil"/>
        <w:right w:val="nil"/>
        <w:between w:val="nil"/>
      </w:pBdr>
      <w:tabs>
        <w:tab w:val="center" w:pos="4536"/>
        <w:tab w:val="right" w:pos="9072"/>
      </w:tabs>
      <w:jc w:val="right"/>
      <w:rPr>
        <w:smallCaps/>
        <w:color w:val="006A66"/>
      </w:rPr>
    </w:pPr>
    <w:r>
      <w:rPr>
        <w:smallCaps/>
        <w:color w:val="006A66"/>
      </w:rPr>
      <w:fldChar w:fldCharType="begin"/>
    </w:r>
    <w:r>
      <w:rPr>
        <w:smallCaps/>
        <w:color w:val="006A66"/>
      </w:rPr>
      <w:instrText>PAGE</w:instrText>
    </w:r>
    <w:r>
      <w:rPr>
        <w:smallCaps/>
        <w:color w:val="006A66"/>
      </w:rPr>
      <w:fldChar w:fldCharType="separate"/>
    </w:r>
    <w:r w:rsidR="00F404C4">
      <w:rPr>
        <w:smallCaps/>
        <w:noProof/>
        <w:color w:val="006A66"/>
      </w:rPr>
      <w:t>1</w:t>
    </w:r>
    <w:r>
      <w:rPr>
        <w:smallCaps/>
        <w:color w:val="006A66"/>
      </w:rPr>
      <w:fldChar w:fldCharType="end"/>
    </w:r>
    <w:r>
      <w:rPr>
        <w:noProof/>
      </w:rPr>
      <mc:AlternateContent>
        <mc:Choice Requires="wps">
          <w:drawing>
            <wp:anchor distT="0" distB="0" distL="114300" distR="114300" simplePos="0" relativeHeight="251659264" behindDoc="0" locked="0" layoutInCell="1" hidden="0" allowOverlap="1" wp14:anchorId="305C6B10" wp14:editId="305C6B11">
              <wp:simplePos x="0" y="0"/>
              <wp:positionH relativeFrom="column">
                <wp:posOffset>3397821</wp:posOffset>
              </wp:positionH>
              <wp:positionV relativeFrom="paragraph">
                <wp:posOffset>165100</wp:posOffset>
              </wp:positionV>
              <wp:extent cx="0" cy="12700"/>
              <wp:effectExtent l="0" t="0" r="0" b="0"/>
              <wp:wrapNone/>
              <wp:docPr id="7" name="Straight Arrow Connector 7"/>
              <wp:cNvGraphicFramePr/>
              <a:graphic xmlns:a="http://schemas.openxmlformats.org/drawingml/2006/main">
                <a:graphicData uri="http://schemas.microsoft.com/office/word/2010/wordprocessingShape">
                  <wps:wsp>
                    <wps:cNvCnPr/>
                    <wps:spPr>
                      <a:xfrm>
                        <a:off x="4248000" y="3780000"/>
                        <a:ext cx="2196000" cy="0"/>
                      </a:xfrm>
                      <a:prstGeom prst="straightConnector1">
                        <a:avLst/>
                      </a:prstGeom>
                      <a:noFill/>
                      <a:ln w="9525" cap="flat" cmpd="sng">
                        <a:solidFill>
                          <a:srgbClr val="006A66"/>
                        </a:solidFill>
                        <a:prstDash val="solid"/>
                        <a:miter lim="800000"/>
                        <a:headEnd type="none" w="sm" len="sm"/>
                        <a:tailEnd type="none" w="sm" len="sm"/>
                      </a:ln>
                    </wps:spPr>
                    <wps:bodyPr/>
                  </wps:wsp>
                </a:graphicData>
              </a:graphic>
            </wp:anchor>
          </w:drawing>
        </mc:Choice>
        <mc:Fallback xmlns:a="http://schemas.openxmlformats.org/drawingml/2006/main">
          <w:pict>
            <v:shapetype id="_x0000_t32" coordsize="21600,21600" o:oned="t" filled="f" o:spt="32" path="m,l21600,21600e" w14:anchorId="347C0EEF">
              <v:path fillok="f" arrowok="t" o:connecttype="none"/>
              <o:lock v:ext="edit" shapetype="t"/>
            </v:shapetype>
            <v:shape id="Straight Arrow Connector 7" style="position:absolute;margin-left:267.55pt;margin-top:13pt;width:0;height:1pt;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006a6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">
              <v:stroke joinstyle="miter" startarrowwidth="narrow" startarrowlength="short" endarrowwidth="narrow" endarrowlength="short"/>
            </v:shape>
          </w:pict>
        </mc:Fallback>
      </mc:AlternateContent>
    </w:r>
  </w:p>
  <w:p w14:paraId="305C6B0D" w14:textId="77777777" w:rsidR="00AA4EB0" w:rsidRDefault="00AA4EB0">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776845" w14:textId="77777777" w:rsidR="00B2054D" w:rsidRDefault="00B2054D">
      <w:pPr>
        <w:spacing w:before="0" w:after="0"/>
      </w:pPr>
      <w:r>
        <w:separator/>
      </w:r>
    </w:p>
  </w:footnote>
  <w:footnote w:type="continuationSeparator" w:id="0">
    <w:p w14:paraId="4034F2AB" w14:textId="77777777" w:rsidR="00B2054D" w:rsidRDefault="00B2054D">
      <w:pPr>
        <w:spacing w:before="0" w:after="0"/>
      </w:pPr>
      <w:r>
        <w:continuationSeparator/>
      </w:r>
    </w:p>
  </w:footnote>
  <w:footnote w:id="1">
    <w:p w14:paraId="0372DF77" w14:textId="52E6E788" w:rsidR="00882EF0" w:rsidRPr="002B039A" w:rsidRDefault="00882EF0" w:rsidP="00882EF0">
      <w:pPr>
        <w:pStyle w:val="FootnoteText"/>
        <w:rPr>
          <w:lang w:val="en-GB"/>
        </w:rPr>
      </w:pPr>
      <w:r>
        <w:rPr>
          <w:rStyle w:val="FootnoteReference"/>
        </w:rPr>
        <w:footnoteRef/>
      </w:r>
      <w:r w:rsidRPr="002B039A">
        <w:rPr>
          <w:lang w:val="en-GB"/>
        </w:rPr>
        <w:t xml:space="preserve"> The form of child labour performed by children and adolescents under the age of 18 in third-party households, performing domestic and care tasks such as cleaning, cooking, washing, caring for children, elderly or sick people, and other activities related to household maintenance.</w:t>
      </w:r>
    </w:p>
    <w:p w14:paraId="7BD968F9" w14:textId="68F388EF" w:rsidR="00882EF0" w:rsidRPr="002B039A" w:rsidRDefault="00882EF0">
      <w:pPr>
        <w:pStyle w:val="FootnoteText"/>
        <w:rPr>
          <w:lang w:val="en-GB"/>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C6B0B" w14:textId="77777777" w:rsidR="00AA4EB0" w:rsidRDefault="00B010E4">
    <w:pPr>
      <w:pBdr>
        <w:top w:val="nil"/>
        <w:left w:val="nil"/>
        <w:bottom w:val="nil"/>
        <w:right w:val="nil"/>
        <w:between w:val="nil"/>
      </w:pBdr>
      <w:tabs>
        <w:tab w:val="center" w:pos="4536"/>
        <w:tab w:val="right" w:pos="9072"/>
      </w:tabs>
      <w:rPr>
        <w:color w:val="000000"/>
      </w:rPr>
    </w:pPr>
    <w:r>
      <w:rPr>
        <w:noProof/>
      </w:rPr>
      <w:drawing>
        <wp:anchor distT="0" distB="0" distL="0" distR="0" simplePos="0" relativeHeight="251658240" behindDoc="1" locked="0" layoutInCell="1" hidden="0" allowOverlap="1" wp14:anchorId="305C6B0E" wp14:editId="305C6B0F">
          <wp:simplePos x="0" y="0"/>
          <wp:positionH relativeFrom="column">
            <wp:posOffset>-892237</wp:posOffset>
          </wp:positionH>
          <wp:positionV relativeFrom="paragraph">
            <wp:posOffset>-442023</wp:posOffset>
          </wp:positionV>
          <wp:extent cx="7546073" cy="10673634"/>
          <wp:effectExtent l="0" t="0" r="0" b="0"/>
          <wp:wrapNone/>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46073" cy="1067363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00DE3"/>
    <w:multiLevelType w:val="multilevel"/>
    <w:tmpl w:val="C3542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E14C65"/>
    <w:multiLevelType w:val="multilevel"/>
    <w:tmpl w:val="E86C3D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7F35B3A"/>
    <w:multiLevelType w:val="hybridMultilevel"/>
    <w:tmpl w:val="118468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E544E8C"/>
    <w:multiLevelType w:val="multilevel"/>
    <w:tmpl w:val="38AA6060"/>
    <w:lvl w:ilvl="0">
      <w:start w:val="1"/>
      <w:numFmt w:val="decimal"/>
      <w:lvlText w:val="%1."/>
      <w:lvlJc w:val="left"/>
      <w:pPr>
        <w:ind w:left="720" w:hanging="360"/>
      </w:pPr>
      <w:rPr>
        <w:b/>
        <w:bCs/>
        <w:color w:val="00666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425241E"/>
    <w:multiLevelType w:val="multilevel"/>
    <w:tmpl w:val="87AA27F6"/>
    <w:lvl w:ilvl="0">
      <w:start w:val="1"/>
      <w:numFmt w:val="decimal"/>
      <w:pStyle w:val="DocumentTyp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647A607C"/>
    <w:multiLevelType w:val="multilevel"/>
    <w:tmpl w:val="9594F2E2"/>
    <w:lvl w:ilvl="0">
      <w:start w:val="1"/>
      <w:numFmt w:val="upperRoman"/>
      <w:lvlText w:val="%1."/>
      <w:lvlJc w:val="right"/>
      <w:pPr>
        <w:ind w:left="720" w:hanging="1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1E10D69"/>
    <w:multiLevelType w:val="multilevel"/>
    <w:tmpl w:val="5F50F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70011842">
    <w:abstractNumId w:val="5"/>
  </w:num>
  <w:num w:numId="2" w16cid:durableId="1114523478">
    <w:abstractNumId w:val="3"/>
  </w:num>
  <w:num w:numId="3" w16cid:durableId="1011680607">
    <w:abstractNumId w:val="4"/>
  </w:num>
  <w:num w:numId="4" w16cid:durableId="653295055">
    <w:abstractNumId w:val="1"/>
  </w:num>
  <w:num w:numId="5" w16cid:durableId="397440381">
    <w:abstractNumId w:val="0"/>
  </w:num>
  <w:num w:numId="6" w16cid:durableId="271205326">
    <w:abstractNumId w:val="6"/>
  </w:num>
  <w:num w:numId="7" w16cid:durableId="18976675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4EB0"/>
    <w:rsid w:val="00015AA8"/>
    <w:rsid w:val="0002411F"/>
    <w:rsid w:val="00062645"/>
    <w:rsid w:val="000A0107"/>
    <w:rsid w:val="000A2F01"/>
    <w:rsid w:val="00132829"/>
    <w:rsid w:val="00155E94"/>
    <w:rsid w:val="0016607B"/>
    <w:rsid w:val="001C32B9"/>
    <w:rsid w:val="001F2D7F"/>
    <w:rsid w:val="001F34C8"/>
    <w:rsid w:val="001F3781"/>
    <w:rsid w:val="00230DD9"/>
    <w:rsid w:val="00260908"/>
    <w:rsid w:val="00277D27"/>
    <w:rsid w:val="00293E0E"/>
    <w:rsid w:val="002A16FE"/>
    <w:rsid w:val="002B039A"/>
    <w:rsid w:val="002B21F1"/>
    <w:rsid w:val="002D2CEF"/>
    <w:rsid w:val="002D4B84"/>
    <w:rsid w:val="002D5F97"/>
    <w:rsid w:val="002E381E"/>
    <w:rsid w:val="002F3EBC"/>
    <w:rsid w:val="00314665"/>
    <w:rsid w:val="00317EFF"/>
    <w:rsid w:val="00341648"/>
    <w:rsid w:val="00343473"/>
    <w:rsid w:val="00346333"/>
    <w:rsid w:val="00346C5F"/>
    <w:rsid w:val="00353691"/>
    <w:rsid w:val="0035494E"/>
    <w:rsid w:val="00395556"/>
    <w:rsid w:val="003B2E96"/>
    <w:rsid w:val="003C4D2C"/>
    <w:rsid w:val="003D1E16"/>
    <w:rsid w:val="003E7977"/>
    <w:rsid w:val="00430863"/>
    <w:rsid w:val="00457D77"/>
    <w:rsid w:val="004626D8"/>
    <w:rsid w:val="00477264"/>
    <w:rsid w:val="00487AC2"/>
    <w:rsid w:val="004B2555"/>
    <w:rsid w:val="004D196D"/>
    <w:rsid w:val="004D1B78"/>
    <w:rsid w:val="004E0815"/>
    <w:rsid w:val="00555C0B"/>
    <w:rsid w:val="00591B05"/>
    <w:rsid w:val="005E4BC2"/>
    <w:rsid w:val="00653E6A"/>
    <w:rsid w:val="006761CE"/>
    <w:rsid w:val="006B171C"/>
    <w:rsid w:val="006B1A26"/>
    <w:rsid w:val="006D27B8"/>
    <w:rsid w:val="006D52A1"/>
    <w:rsid w:val="006F31A1"/>
    <w:rsid w:val="00721B3E"/>
    <w:rsid w:val="007601AB"/>
    <w:rsid w:val="007727CA"/>
    <w:rsid w:val="007A59C7"/>
    <w:rsid w:val="007C666D"/>
    <w:rsid w:val="007F74B1"/>
    <w:rsid w:val="0081028B"/>
    <w:rsid w:val="00823897"/>
    <w:rsid w:val="00823AB5"/>
    <w:rsid w:val="008303AC"/>
    <w:rsid w:val="008522B8"/>
    <w:rsid w:val="008633E2"/>
    <w:rsid w:val="00882EF0"/>
    <w:rsid w:val="0092598B"/>
    <w:rsid w:val="009309D6"/>
    <w:rsid w:val="0094690F"/>
    <w:rsid w:val="00957C27"/>
    <w:rsid w:val="00981B96"/>
    <w:rsid w:val="009B0AD4"/>
    <w:rsid w:val="00A2340A"/>
    <w:rsid w:val="00A37935"/>
    <w:rsid w:val="00A64245"/>
    <w:rsid w:val="00A9402C"/>
    <w:rsid w:val="00AA4EB0"/>
    <w:rsid w:val="00AB1963"/>
    <w:rsid w:val="00AB6764"/>
    <w:rsid w:val="00AC4697"/>
    <w:rsid w:val="00AD0855"/>
    <w:rsid w:val="00AE55B5"/>
    <w:rsid w:val="00B010E4"/>
    <w:rsid w:val="00B103D4"/>
    <w:rsid w:val="00B170EB"/>
    <w:rsid w:val="00B2054D"/>
    <w:rsid w:val="00B60FA4"/>
    <w:rsid w:val="00B7237E"/>
    <w:rsid w:val="00B803FC"/>
    <w:rsid w:val="00BE5184"/>
    <w:rsid w:val="00BF693D"/>
    <w:rsid w:val="00C13FB4"/>
    <w:rsid w:val="00C2638B"/>
    <w:rsid w:val="00C422D6"/>
    <w:rsid w:val="00C6733C"/>
    <w:rsid w:val="00C81964"/>
    <w:rsid w:val="00C96ECF"/>
    <w:rsid w:val="00CA05B4"/>
    <w:rsid w:val="00CC63D1"/>
    <w:rsid w:val="00CD0540"/>
    <w:rsid w:val="00CF5A1A"/>
    <w:rsid w:val="00D53830"/>
    <w:rsid w:val="00D77847"/>
    <w:rsid w:val="00D80B60"/>
    <w:rsid w:val="00DD178E"/>
    <w:rsid w:val="00E16B9F"/>
    <w:rsid w:val="00E41E3C"/>
    <w:rsid w:val="00E70F87"/>
    <w:rsid w:val="00E9707B"/>
    <w:rsid w:val="00EA1EA0"/>
    <w:rsid w:val="00EC7AA2"/>
    <w:rsid w:val="00ED0161"/>
    <w:rsid w:val="00F20EAA"/>
    <w:rsid w:val="00F404C4"/>
    <w:rsid w:val="00FD49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C6AD4"/>
  <w15:docId w15:val="{2F98A7E2-F578-4ABA-B459-EBD2744BB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CA" w:eastAsia="en-GB" w:bidi="ar-SA"/>
      </w:rPr>
    </w:rPrDefault>
    <w:pPrDefault>
      <w:pPr>
        <w:spacing w:before="120"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before="240" w:after="240"/>
      <w:jc w:val="left"/>
      <w:outlineLvl w:val="0"/>
    </w:pPr>
    <w:rPr>
      <w:rFonts w:ascii="Cera Pro" w:eastAsia="Cera Pro" w:hAnsi="Cera Pro" w:cs="Cera Pro"/>
      <w:b/>
      <w:bCs/>
      <w:color w:val="006A66"/>
      <w:sz w:val="50"/>
      <w:szCs w:val="50"/>
    </w:rPr>
  </w:style>
  <w:style w:type="paragraph" w:styleId="Heading2">
    <w:name w:val="heading 2"/>
    <w:basedOn w:val="Normal"/>
    <w:next w:val="Normal"/>
    <w:link w:val="Heading2Char"/>
    <w:uiPriority w:val="9"/>
    <w:unhideWhenUsed/>
    <w:qFormat/>
    <w:pPr>
      <w:keepNext/>
      <w:keepLines/>
      <w:spacing w:before="360"/>
      <w:ind w:left="720" w:hanging="180"/>
      <w:jc w:val="left"/>
      <w:outlineLvl w:val="1"/>
    </w:pPr>
    <w:rPr>
      <w:b/>
      <w:bCs/>
      <w:color w:val="006A66"/>
      <w:sz w:val="30"/>
      <w:szCs w:val="30"/>
    </w:rPr>
  </w:style>
  <w:style w:type="paragraph" w:styleId="Heading3">
    <w:name w:val="heading 3"/>
    <w:basedOn w:val="Normal"/>
    <w:next w:val="Normal"/>
    <w:link w:val="Heading3Char"/>
    <w:uiPriority w:val="9"/>
    <w:semiHidden/>
    <w:unhideWhenUsed/>
    <w:qFormat/>
    <w:pPr>
      <w:keepNext/>
      <w:keepLines/>
      <w:spacing w:before="360"/>
      <w:ind w:left="714" w:hanging="357"/>
      <w:jc w:val="left"/>
      <w:outlineLvl w:val="2"/>
    </w:pPr>
    <w:rPr>
      <w:b/>
      <w:bCs/>
      <w:color w:val="E5702A"/>
      <w:sz w:val="26"/>
      <w:szCs w:val="26"/>
    </w:rPr>
  </w:style>
  <w:style w:type="paragraph" w:styleId="Heading4">
    <w:name w:val="heading 4"/>
    <w:basedOn w:val="Normal"/>
    <w:next w:val="Normal"/>
    <w:link w:val="Heading4Char"/>
    <w:uiPriority w:val="9"/>
    <w:semiHidden/>
    <w:unhideWhenUsed/>
    <w:qFormat/>
    <w:pPr>
      <w:keepNext/>
      <w:keepLines/>
      <w:spacing w:before="240"/>
      <w:ind w:left="641" w:hanging="357"/>
      <w:outlineLvl w:val="3"/>
    </w:pPr>
    <w:rPr>
      <w:i/>
      <w:iCs/>
      <w:color w:val="E5702A"/>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pPr>
    <w:rPr>
      <w:b/>
      <w:bCs/>
      <w:sz w:val="72"/>
      <w:szCs w:val="72"/>
    </w:rPr>
  </w:style>
  <w:style w:type="character" w:customStyle="1" w:styleId="Heading1Char">
    <w:name w:val="Heading 1 Char"/>
    <w:basedOn w:val="DefaultParagraphFont"/>
    <w:link w:val="Heading1"/>
    <w:uiPriority w:val="9"/>
    <w:rsid w:val="00715E49"/>
    <w:rPr>
      <w:rFonts w:ascii="Cera Pro" w:eastAsia="Times New Roman" w:hAnsi="Cera Pro" w:cs="Times New Roman"/>
      <w:b/>
      <w:bCs/>
      <w:color w:val="006A66"/>
      <w:kern w:val="36"/>
      <w:sz w:val="50"/>
      <w:szCs w:val="48"/>
      <w:lang w:eastAsia="fr-FR"/>
    </w:rPr>
  </w:style>
  <w:style w:type="character" w:customStyle="1" w:styleId="Heading3Char">
    <w:name w:val="Heading 3 Char"/>
    <w:basedOn w:val="DefaultParagraphFont"/>
    <w:link w:val="Heading3"/>
    <w:uiPriority w:val="9"/>
    <w:rsid w:val="00715E49"/>
    <w:rPr>
      <w:rFonts w:ascii="Calibri" w:eastAsiaTheme="majorEastAsia" w:hAnsi="Calibri" w:cstheme="majorBidi"/>
      <w:b/>
      <w:color w:val="E5702A"/>
      <w:sz w:val="26"/>
    </w:rPr>
  </w:style>
  <w:style w:type="paragraph" w:styleId="NormalWeb">
    <w:name w:val="Normal (Web)"/>
    <w:basedOn w:val="Normal"/>
    <w:uiPriority w:val="99"/>
    <w:unhideWhenUsed/>
    <w:rsid w:val="00F436D2"/>
    <w:pPr>
      <w:spacing w:before="100" w:beforeAutospacing="1" w:after="100" w:afterAutospacing="1"/>
    </w:pPr>
    <w:rPr>
      <w:rFonts w:ascii="Times New Roman" w:eastAsia="Times New Roman" w:hAnsi="Times New Roman" w:cs="Times New Roman"/>
      <w:lang w:eastAsia="fr-FR"/>
    </w:rPr>
  </w:style>
  <w:style w:type="character" w:styleId="Hyperlink">
    <w:name w:val="Hyperlink"/>
    <w:basedOn w:val="DefaultParagraphFont"/>
    <w:uiPriority w:val="99"/>
    <w:semiHidden/>
    <w:unhideWhenUsed/>
    <w:rsid w:val="00F436D2"/>
    <w:rPr>
      <w:color w:val="0000FF"/>
      <w:u w:val="single"/>
    </w:rPr>
  </w:style>
  <w:style w:type="character" w:styleId="Emphasis">
    <w:name w:val="Emphasis"/>
    <w:basedOn w:val="DefaultParagraphFont"/>
    <w:uiPriority w:val="20"/>
    <w:qFormat/>
    <w:rsid w:val="00F436D2"/>
    <w:rPr>
      <w:i/>
      <w:iCs/>
    </w:rPr>
  </w:style>
  <w:style w:type="character" w:styleId="Strong">
    <w:name w:val="Strong"/>
    <w:basedOn w:val="DefaultParagraphFont"/>
    <w:uiPriority w:val="22"/>
    <w:qFormat/>
    <w:rsid w:val="00DF4D69"/>
    <w:rPr>
      <w:b/>
      <w:bCs/>
    </w:rPr>
  </w:style>
  <w:style w:type="character" w:styleId="FollowedHyperlink">
    <w:name w:val="FollowedHyperlink"/>
    <w:basedOn w:val="DefaultParagraphFont"/>
    <w:uiPriority w:val="99"/>
    <w:semiHidden/>
    <w:unhideWhenUsed/>
    <w:rsid w:val="00DF4D69"/>
    <w:rPr>
      <w:color w:val="954F72" w:themeColor="followedHyperlink"/>
      <w:u w:val="single"/>
    </w:rPr>
  </w:style>
  <w:style w:type="paragraph" w:styleId="Header">
    <w:name w:val="header"/>
    <w:basedOn w:val="Normal"/>
    <w:link w:val="HeaderChar"/>
    <w:uiPriority w:val="99"/>
    <w:unhideWhenUsed/>
    <w:rsid w:val="003F14C5"/>
    <w:pPr>
      <w:tabs>
        <w:tab w:val="center" w:pos="4536"/>
        <w:tab w:val="right" w:pos="9072"/>
      </w:tabs>
    </w:pPr>
  </w:style>
  <w:style w:type="character" w:customStyle="1" w:styleId="HeaderChar">
    <w:name w:val="Header Char"/>
    <w:basedOn w:val="DefaultParagraphFont"/>
    <w:link w:val="Header"/>
    <w:uiPriority w:val="99"/>
    <w:rsid w:val="003F14C5"/>
  </w:style>
  <w:style w:type="paragraph" w:styleId="Footer">
    <w:name w:val="footer"/>
    <w:basedOn w:val="Normal"/>
    <w:link w:val="FooterChar"/>
    <w:uiPriority w:val="99"/>
    <w:unhideWhenUsed/>
    <w:rsid w:val="003F14C5"/>
    <w:pPr>
      <w:tabs>
        <w:tab w:val="center" w:pos="4536"/>
        <w:tab w:val="right" w:pos="9072"/>
      </w:tabs>
    </w:pPr>
  </w:style>
  <w:style w:type="character" w:customStyle="1" w:styleId="FooterChar">
    <w:name w:val="Footer Char"/>
    <w:basedOn w:val="DefaultParagraphFont"/>
    <w:link w:val="Footer"/>
    <w:uiPriority w:val="99"/>
    <w:rsid w:val="003F14C5"/>
  </w:style>
  <w:style w:type="character" w:customStyle="1" w:styleId="Heading2Char">
    <w:name w:val="Heading 2 Char"/>
    <w:basedOn w:val="DefaultParagraphFont"/>
    <w:link w:val="Heading2"/>
    <w:uiPriority w:val="9"/>
    <w:rsid w:val="00715E49"/>
    <w:rPr>
      <w:rFonts w:eastAsiaTheme="majorEastAsia" w:cstheme="majorBidi"/>
      <w:b/>
      <w:color w:val="006A66"/>
      <w:sz w:val="30"/>
      <w:szCs w:val="26"/>
    </w:rPr>
  </w:style>
  <w:style w:type="character" w:customStyle="1" w:styleId="Heading4Char">
    <w:name w:val="Heading 4 Char"/>
    <w:basedOn w:val="DefaultParagraphFont"/>
    <w:link w:val="Heading4"/>
    <w:uiPriority w:val="9"/>
    <w:rsid w:val="00E16D2A"/>
    <w:rPr>
      <w:rFonts w:eastAsiaTheme="majorEastAsia" w:cstheme="majorBidi"/>
      <w:i/>
      <w:iCs/>
      <w:color w:val="E5702A"/>
    </w:rPr>
  </w:style>
  <w:style w:type="paragraph" w:styleId="NoSpacing">
    <w:name w:val="No Spacing"/>
    <w:uiPriority w:val="1"/>
    <w:qFormat/>
    <w:rsid w:val="00715E49"/>
    <w:rPr>
      <w:color w:val="006A66"/>
      <w:sz w:val="28"/>
    </w:rPr>
  </w:style>
  <w:style w:type="paragraph" w:customStyle="1" w:styleId="NormalBody">
    <w:name w:val="NormalBody"/>
    <w:basedOn w:val="Normal"/>
    <w:uiPriority w:val="9"/>
    <w:qFormat/>
    <w:rsid w:val="00D97CF7"/>
    <w:pPr>
      <w:spacing w:line="264" w:lineRule="auto"/>
      <w:jc w:val="left"/>
    </w:pPr>
    <w:rPr>
      <w:rFonts w:ascii="Noto Sans" w:hAnsi="Noto Sans" w:cs="Noto Sans"/>
      <w:sz w:val="18"/>
      <w:szCs w:val="18"/>
      <w:lang w:val="en-GB"/>
    </w:rPr>
  </w:style>
  <w:style w:type="table" w:styleId="TableGrid">
    <w:name w:val="Table Grid"/>
    <w:basedOn w:val="TableNormal"/>
    <w:uiPriority w:val="39"/>
    <w:rsid w:val="00FC0AE3"/>
    <w:rPr>
      <w:sz w:val="22"/>
      <w:szCs w:val="22"/>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Type">
    <w:name w:val="DocumentType"/>
    <w:basedOn w:val="Normal"/>
    <w:next w:val="NormalBody"/>
    <w:qFormat/>
    <w:rsid w:val="00FC0AE3"/>
    <w:pPr>
      <w:keepNext/>
      <w:numPr>
        <w:numId w:val="3"/>
      </w:numPr>
      <w:spacing w:after="1080"/>
      <w:ind w:left="340" w:hanging="340"/>
      <w:contextualSpacing/>
      <w:jc w:val="left"/>
      <w:outlineLvl w:val="0"/>
    </w:pPr>
    <w:rPr>
      <w:rFonts w:ascii="Overpass" w:hAnsi="Overpass" w:cs="Noto Sans"/>
      <w:b/>
      <w:color w:val="FFFFFF" w:themeColor="background1"/>
      <w:spacing w:val="-16"/>
      <w:sz w:val="60"/>
      <w:szCs w:val="60"/>
      <w:lang w:val="en-GB"/>
    </w:rPr>
  </w:style>
  <w:style w:type="character" w:styleId="CommentReference">
    <w:name w:val="annotation reference"/>
    <w:basedOn w:val="DefaultParagraphFont"/>
    <w:uiPriority w:val="99"/>
    <w:semiHidden/>
    <w:unhideWhenUsed/>
    <w:rsid w:val="00FC0AE3"/>
    <w:rPr>
      <w:sz w:val="16"/>
      <w:szCs w:val="16"/>
    </w:rPr>
  </w:style>
  <w:style w:type="paragraph" w:styleId="CommentText">
    <w:name w:val="annotation text"/>
    <w:basedOn w:val="Normal"/>
    <w:link w:val="CommentTextChar"/>
    <w:uiPriority w:val="99"/>
    <w:unhideWhenUsed/>
    <w:rsid w:val="00FC0AE3"/>
    <w:pPr>
      <w:jc w:val="left"/>
    </w:pPr>
    <w:rPr>
      <w:rFonts w:ascii="Noto Sans" w:hAnsi="Noto Sans" w:cs="Noto Sans"/>
      <w:sz w:val="20"/>
      <w:szCs w:val="20"/>
      <w:lang w:val="en-GB"/>
    </w:rPr>
  </w:style>
  <w:style w:type="character" w:customStyle="1" w:styleId="CommentTextChar">
    <w:name w:val="Comment Text Char"/>
    <w:basedOn w:val="DefaultParagraphFont"/>
    <w:link w:val="CommentText"/>
    <w:uiPriority w:val="99"/>
    <w:rsid w:val="00FC0AE3"/>
    <w:rPr>
      <w:rFonts w:ascii="Noto Sans" w:hAnsi="Noto Sans" w:cs="Noto Sans"/>
      <w:sz w:val="20"/>
      <w:szCs w:val="20"/>
      <w:lang w:val="en-GB"/>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rPr>
      <w:sz w:val="22"/>
      <w:szCs w:val="22"/>
    </w:rPr>
    <w:tblPr>
      <w:tblStyleRowBandSize w:val="1"/>
      <w:tblStyleColBandSize w:val="1"/>
    </w:tblPr>
  </w:style>
  <w:style w:type="paragraph" w:styleId="ListParagraph">
    <w:name w:val="List Paragraph"/>
    <w:basedOn w:val="Normal"/>
    <w:uiPriority w:val="34"/>
    <w:qFormat/>
    <w:rsid w:val="003B2E96"/>
    <w:pPr>
      <w:ind w:left="720"/>
      <w:contextualSpacing/>
    </w:pPr>
  </w:style>
  <w:style w:type="paragraph" w:styleId="Revision">
    <w:name w:val="Revision"/>
    <w:hidden/>
    <w:uiPriority w:val="99"/>
    <w:semiHidden/>
    <w:rsid w:val="00230DD9"/>
    <w:pPr>
      <w:spacing w:before="0" w:after="0"/>
      <w:jc w:val="left"/>
    </w:pPr>
  </w:style>
  <w:style w:type="paragraph" w:styleId="CommentSubject">
    <w:name w:val="annotation subject"/>
    <w:basedOn w:val="CommentText"/>
    <w:next w:val="CommentText"/>
    <w:link w:val="CommentSubjectChar"/>
    <w:uiPriority w:val="99"/>
    <w:semiHidden/>
    <w:unhideWhenUsed/>
    <w:rsid w:val="00293E0E"/>
    <w:pPr>
      <w:jc w:val="both"/>
    </w:pPr>
    <w:rPr>
      <w:rFonts w:ascii="Calibri" w:hAnsi="Calibri" w:cs="Calibri"/>
      <w:b/>
      <w:bCs/>
      <w:lang w:val="en-CA"/>
    </w:rPr>
  </w:style>
  <w:style w:type="character" w:customStyle="1" w:styleId="CommentSubjectChar">
    <w:name w:val="Comment Subject Char"/>
    <w:basedOn w:val="CommentTextChar"/>
    <w:link w:val="CommentSubject"/>
    <w:uiPriority w:val="99"/>
    <w:semiHidden/>
    <w:rsid w:val="00293E0E"/>
    <w:rPr>
      <w:rFonts w:ascii="Noto Sans" w:hAnsi="Noto Sans" w:cs="Noto Sans"/>
      <w:b/>
      <w:bCs/>
      <w:sz w:val="20"/>
      <w:szCs w:val="20"/>
      <w:lang w:val="en-GB"/>
    </w:rPr>
  </w:style>
  <w:style w:type="paragraph" w:styleId="FootnoteText">
    <w:name w:val="footnote text"/>
    <w:basedOn w:val="Normal"/>
    <w:link w:val="FootnoteTextChar"/>
    <w:uiPriority w:val="99"/>
    <w:semiHidden/>
    <w:unhideWhenUsed/>
    <w:rsid w:val="00882EF0"/>
    <w:pPr>
      <w:spacing w:before="0" w:after="0"/>
    </w:pPr>
    <w:rPr>
      <w:sz w:val="20"/>
      <w:szCs w:val="20"/>
    </w:rPr>
  </w:style>
  <w:style w:type="character" w:customStyle="1" w:styleId="FootnoteTextChar">
    <w:name w:val="Footnote Text Char"/>
    <w:basedOn w:val="DefaultParagraphFont"/>
    <w:link w:val="FootnoteText"/>
    <w:uiPriority w:val="99"/>
    <w:semiHidden/>
    <w:rsid w:val="00882EF0"/>
    <w:rPr>
      <w:sz w:val="20"/>
      <w:szCs w:val="20"/>
    </w:rPr>
  </w:style>
  <w:style w:type="character" w:styleId="FootnoteReference">
    <w:name w:val="footnote reference"/>
    <w:basedOn w:val="DefaultParagraphFont"/>
    <w:uiPriority w:val="99"/>
    <w:semiHidden/>
    <w:unhideWhenUsed/>
    <w:rsid w:val="00882EF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ArchiverLinkFileType xmlns="ca717dfb-b23d-4791-9627-5bcaf166df5d" xsi:nil="true"/>
    <lcf76f155ced4ddcb4097134ff3c332f xmlns="ca717dfb-b23d-4791-9627-5bcaf166df5d">
      <Terms xmlns="http://schemas.microsoft.com/office/infopath/2007/PartnerControls"/>
    </lcf76f155ced4ddcb4097134ff3c332f>
    <TaxCatchAll xmlns="cf9144f3-d197-4f2f-8075-bb23bc46f8ac"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XezLyVnPwfyK8hhhu1CT0UXq8g==">CgMxLjA4AHIhMUNWcFJBX0V5T3JtTUN6R2V2YndPcElfellBUjJpYkZ2</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A5A8B7205F249D4E9B992FEA4869DDCF" ma:contentTypeVersion="30" ma:contentTypeDescription="Create a new document." ma:contentTypeScope="" ma:versionID="2491efe84bcd7a7ddd09cf214d3844d2">
  <xsd:schema xmlns:xsd="http://www.w3.org/2001/XMLSchema" xmlns:xs="http://www.w3.org/2001/XMLSchema" xmlns:p="http://schemas.microsoft.com/office/2006/metadata/properties" xmlns:ns2="ca717dfb-b23d-4791-9627-5bcaf166df5d" xmlns:ns3="cf9144f3-d197-4f2f-8075-bb23bc46f8ac" targetNamespace="http://schemas.microsoft.com/office/2006/metadata/properties" ma:root="true" ma:fieldsID="9c7f472dcf2e892e823297da953698bd" ns2:_="" ns3:_="">
    <xsd:import namespace="ca717dfb-b23d-4791-9627-5bcaf166df5d"/>
    <xsd:import namespace="cf9144f3-d197-4f2f-8075-bb23bc46f8a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element ref="ns2:ArchiverLinkFile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717dfb-b23d-4791-9627-5bcaf166df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932b82f-ee1f-4246-9d44-c1f8cdfbe54f"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ArchiverLinkFileType" ma:index="27" nillable="true" ma:displayName="ArchiverLinkFileType" ma:hidden="true" ma:internalName="ArchiverLinkFileTyp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9144f3-d197-4f2f-8075-bb23bc46f8a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01bee15-a9fd-47a7-8233-3d936fa4dece}" ma:internalName="TaxCatchAll" ma:showField="CatchAllData" ma:web="cf9144f3-d197-4f2f-8075-bb23bc46f8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B2B9D5-A7E4-4D60-8A55-B357CB8A3EAD}">
  <ds:schemaRefs>
    <ds:schemaRef ds:uri="http://schemas.microsoft.com/office/2006/metadata/properties"/>
    <ds:schemaRef ds:uri="http://schemas.microsoft.com/office/infopath/2007/PartnerControls"/>
    <ds:schemaRef ds:uri="ca717dfb-b23d-4791-9627-5bcaf166df5d"/>
    <ds:schemaRef ds:uri="cf9144f3-d197-4f2f-8075-bb23bc46f8ac"/>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371AE2DC-DA42-4E80-A956-2EC6953DC9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717dfb-b23d-4791-9627-5bcaf166df5d"/>
    <ds:schemaRef ds:uri="cf9144f3-d197-4f2f-8075-bb23bc46f8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ADD591-3BC6-45C9-9438-BE0D765C3A42}">
  <ds:schemaRefs>
    <ds:schemaRef ds:uri="http://schemas.microsoft.com/sharepoint/v3/contenttype/forms"/>
  </ds:schemaRefs>
</ds:datastoreItem>
</file>

<file path=customXml/itemProps5.xml><?xml version="1.0" encoding="utf-8"?>
<ds:datastoreItem xmlns:ds="http://schemas.openxmlformats.org/officeDocument/2006/customXml" ds:itemID="{1C97621D-D0F7-46C5-B92D-A911E00B3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1079</Words>
  <Characters>6261</Characters>
  <Application>Microsoft Office Word</Application>
  <DocSecurity>0</DocSecurity>
  <Lines>152</Lines>
  <Paragraphs>62</Paragraphs>
  <ScaleCrop>false</ScaleCrop>
  <HeadingPairs>
    <vt:vector size="2" baseType="variant">
      <vt:variant>
        <vt:lpstr>Title</vt:lpstr>
      </vt:variant>
      <vt:variant>
        <vt:i4>1</vt:i4>
      </vt:variant>
    </vt:vector>
  </HeadingPairs>
  <TitlesOfParts>
    <vt:vector size="1" baseType="lpstr">
      <vt:lpstr/>
    </vt:vector>
  </TitlesOfParts>
  <Company>ILO</Company>
  <LinksUpToDate>false</LinksUpToDate>
  <CharactersWithSpaces>7278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keywords>, docId:8EB75DDEBFF3332962180B099352FD4C</cp:keywords>
  <cp:lastModifiedBy>Rodriguez, Pilar</cp:lastModifiedBy>
  <cp:revision>2</cp:revision>
  <dcterms:created xsi:type="dcterms:W3CDTF">2026-01-21T15:42:00Z</dcterms:created>
  <dcterms:modified xsi:type="dcterms:W3CDTF">2026-01-21T15:42:00Z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0x010100A5A8B7205F249D4E9B992FEA4869DDCF</vt:lpwstr>
  </property>
  <property fmtid="{D5CDD505-2E9C-101B-9397-08002B2CF9AE}" pid="3" name="MediaServiceImageTags">
    <vt:lpwstr/>
  </property>
</Properties>
</file>