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6BBD" w14:textId="77777777" w:rsidR="00116AE3" w:rsidRPr="00862559" w:rsidRDefault="00116AE3" w:rsidP="00116AE3">
      <w:pPr>
        <w:pStyle w:val="Heading1"/>
        <w:spacing w:before="0" w:after="0"/>
        <w:jc w:val="center"/>
        <w:rPr>
          <w:rFonts w:ascii="Calibri" w:hAnsi="Calibri"/>
          <w:b w:val="0"/>
          <w:bCs w:val="0"/>
          <w:sz w:val="28"/>
          <w:szCs w:val="28"/>
          <w:lang w:val="fr-FR"/>
        </w:rPr>
      </w:pPr>
      <w:r w:rsidRPr="00862559">
        <w:rPr>
          <w:rFonts w:ascii="Calibri" w:hAnsi="Calibri"/>
          <w:b w:val="0"/>
          <w:bCs w:val="0"/>
          <w:sz w:val="28"/>
          <w:szCs w:val="28"/>
          <w:lang w:val="fr-FR"/>
        </w:rPr>
        <w:t>Note conceptuelle pour une session thématique sur</w:t>
      </w:r>
    </w:p>
    <w:p w14:paraId="182FE00B" w14:textId="77777777" w:rsidR="00116AE3" w:rsidRPr="00862559" w:rsidRDefault="00116AE3" w:rsidP="00116AE3">
      <w:pPr>
        <w:pStyle w:val="Heading1"/>
        <w:spacing w:before="0" w:after="0"/>
        <w:jc w:val="center"/>
        <w:rPr>
          <w:sz w:val="36"/>
          <w:szCs w:val="36"/>
          <w:lang w:val="fr-FR"/>
        </w:rPr>
      </w:pPr>
    </w:p>
    <w:p w14:paraId="7FB2CA2D" w14:textId="07616186" w:rsidR="00116AE3" w:rsidRPr="00862559" w:rsidRDefault="008E1CC1" w:rsidP="00116AE3">
      <w:pPr>
        <w:pStyle w:val="Heading1"/>
        <w:spacing w:before="0" w:after="0"/>
        <w:jc w:val="center"/>
        <w:rPr>
          <w:color w:val="ED7D31" w:themeColor="accent2"/>
          <w:sz w:val="40"/>
          <w:szCs w:val="40"/>
          <w:lang w:val="fr-FR"/>
        </w:rPr>
      </w:pPr>
      <w:r w:rsidRPr="00862559">
        <w:rPr>
          <w:color w:val="ED7D31" w:themeColor="accent2"/>
          <w:sz w:val="40"/>
          <w:szCs w:val="40"/>
          <w:lang w:val="fr-FR"/>
        </w:rPr>
        <w:t xml:space="preserve">Solutions de financement durable de l’élimination du travail des </w:t>
      </w:r>
      <w:proofErr w:type="gramStart"/>
      <w:r w:rsidRPr="00862559">
        <w:rPr>
          <w:color w:val="ED7D31" w:themeColor="accent2"/>
          <w:sz w:val="40"/>
          <w:szCs w:val="40"/>
          <w:lang w:val="fr-FR"/>
        </w:rPr>
        <w:t>enfants</w:t>
      </w:r>
      <w:r w:rsidR="00116AE3" w:rsidRPr="00862559">
        <w:rPr>
          <w:color w:val="ED7D31" w:themeColor="accent2"/>
          <w:sz w:val="40"/>
          <w:szCs w:val="40"/>
          <w:lang w:val="fr-FR"/>
        </w:rPr>
        <w:t>:</w:t>
      </w:r>
      <w:proofErr w:type="gramEnd"/>
      <w:r w:rsidR="00116AE3" w:rsidRPr="00862559">
        <w:rPr>
          <w:color w:val="ED7D31" w:themeColor="accent2"/>
          <w:sz w:val="40"/>
          <w:szCs w:val="40"/>
          <w:lang w:val="fr-FR"/>
        </w:rPr>
        <w:t xml:space="preserve"> </w:t>
      </w:r>
      <w:r w:rsidR="00255D01" w:rsidRPr="00862559">
        <w:rPr>
          <w:color w:val="ED7D31" w:themeColor="accent2"/>
          <w:sz w:val="40"/>
          <w:szCs w:val="40"/>
          <w:lang w:val="fr-FR"/>
        </w:rPr>
        <w:t>vers des stratégies nationales cohérentes et soutenables</w:t>
      </w:r>
    </w:p>
    <w:p w14:paraId="09032BCB" w14:textId="770BB262" w:rsidR="00116AE3" w:rsidRPr="00862559" w:rsidRDefault="00116AE3" w:rsidP="00116AE3">
      <w:pPr>
        <w:pStyle w:val="Heading1"/>
        <w:spacing w:after="0"/>
        <w:jc w:val="center"/>
        <w:rPr>
          <w:rFonts w:ascii="Calibri" w:hAnsi="Calibri"/>
          <w:b w:val="0"/>
          <w:bCs w:val="0"/>
          <w:sz w:val="28"/>
          <w:szCs w:val="28"/>
          <w:lang w:val="fr-FR"/>
        </w:rPr>
      </w:pPr>
      <w:proofErr w:type="gramStart"/>
      <w:r w:rsidRPr="00862559">
        <w:rPr>
          <w:rFonts w:ascii="Calibri" w:hAnsi="Calibri"/>
          <w:b w:val="0"/>
          <w:bCs w:val="0"/>
          <w:sz w:val="28"/>
          <w:szCs w:val="28"/>
          <w:lang w:val="fr-FR"/>
        </w:rPr>
        <w:t>à</w:t>
      </w:r>
      <w:proofErr w:type="gramEnd"/>
      <w:r w:rsidRPr="00862559">
        <w:rPr>
          <w:rFonts w:ascii="Calibri" w:hAnsi="Calibri"/>
          <w:b w:val="0"/>
          <w:bCs w:val="0"/>
          <w:sz w:val="28"/>
          <w:szCs w:val="28"/>
          <w:lang w:val="fr-FR"/>
        </w:rPr>
        <w:t xml:space="preserve"> la 6</w:t>
      </w:r>
      <w:r w:rsidRPr="00A35C6A">
        <w:rPr>
          <w:rFonts w:ascii="Calibri" w:hAnsi="Calibri"/>
          <w:b w:val="0"/>
          <w:bCs w:val="0"/>
          <w:sz w:val="28"/>
          <w:szCs w:val="28"/>
          <w:vertAlign w:val="superscript"/>
          <w:lang w:val="fr-FR"/>
        </w:rPr>
        <w:t>e</w:t>
      </w:r>
      <w:r w:rsidRPr="00862559">
        <w:rPr>
          <w:rFonts w:ascii="Calibri" w:hAnsi="Calibri"/>
          <w:b w:val="0"/>
          <w:bCs w:val="0"/>
          <w:sz w:val="28"/>
          <w:szCs w:val="28"/>
          <w:lang w:val="fr-FR"/>
        </w:rPr>
        <w:t xml:space="preserve"> Conférence mondiale sur l'élimination du travail des enfants</w:t>
      </w:r>
      <w:r w:rsidR="00D4101F">
        <w:rPr>
          <w:rFonts w:ascii="Calibri" w:hAnsi="Calibri"/>
          <w:b w:val="0"/>
          <w:bCs w:val="0"/>
          <w:sz w:val="28"/>
          <w:szCs w:val="28"/>
          <w:lang w:val="fr-FR"/>
        </w:rPr>
        <w:br/>
      </w:r>
      <w:r w:rsidRPr="00862559">
        <w:rPr>
          <w:rFonts w:ascii="Calibri" w:hAnsi="Calibri"/>
          <w:b w:val="0"/>
          <w:bCs w:val="0"/>
          <w:sz w:val="28"/>
          <w:szCs w:val="28"/>
          <w:lang w:val="fr-FR"/>
        </w:rPr>
        <w:t>Marrakech</w:t>
      </w:r>
      <w:r w:rsidR="00D4101F">
        <w:rPr>
          <w:rFonts w:ascii="Calibri" w:hAnsi="Calibri"/>
          <w:b w:val="0"/>
          <w:bCs w:val="0"/>
          <w:sz w:val="28"/>
          <w:szCs w:val="28"/>
          <w:lang w:val="fr-FR"/>
        </w:rPr>
        <w:t xml:space="preserve"> (</w:t>
      </w:r>
      <w:r w:rsidRPr="00862559">
        <w:rPr>
          <w:rFonts w:ascii="Calibri" w:hAnsi="Calibri"/>
          <w:b w:val="0"/>
          <w:bCs w:val="0"/>
          <w:sz w:val="28"/>
          <w:szCs w:val="28"/>
          <w:lang w:val="fr-FR"/>
        </w:rPr>
        <w:t>Maroc</w:t>
      </w:r>
      <w:r w:rsidR="00D4101F">
        <w:rPr>
          <w:rFonts w:ascii="Calibri" w:hAnsi="Calibri"/>
          <w:b w:val="0"/>
          <w:bCs w:val="0"/>
          <w:sz w:val="28"/>
          <w:szCs w:val="28"/>
          <w:lang w:val="fr-FR"/>
        </w:rPr>
        <w:t>)</w:t>
      </w:r>
    </w:p>
    <w:p w14:paraId="59B3BF92" w14:textId="77387EA2" w:rsidR="00116AE3" w:rsidRPr="00862559" w:rsidRDefault="00116AE3" w:rsidP="00116AE3">
      <w:pPr>
        <w:pStyle w:val="Heading1"/>
        <w:spacing w:after="0"/>
        <w:jc w:val="center"/>
        <w:rPr>
          <w:rFonts w:ascii="Calibri" w:hAnsi="Calibri"/>
          <w:b w:val="0"/>
          <w:bCs w:val="0"/>
          <w:sz w:val="28"/>
          <w:szCs w:val="28"/>
          <w:lang w:val="fr-FR"/>
        </w:rPr>
      </w:pPr>
      <w:r w:rsidRPr="00862559">
        <w:rPr>
          <w:rFonts w:ascii="Calibri" w:hAnsi="Calibri"/>
          <w:b w:val="0"/>
          <w:bCs w:val="0"/>
          <w:sz w:val="28"/>
          <w:szCs w:val="28"/>
          <w:lang w:val="fr-FR"/>
        </w:rPr>
        <w:t xml:space="preserve">Jeudi 12 février 2026 – </w:t>
      </w:r>
      <w:r w:rsidR="00B27E4F">
        <w:rPr>
          <w:rFonts w:ascii="Calibri" w:hAnsi="Calibri"/>
          <w:b w:val="0"/>
          <w:bCs w:val="0"/>
          <w:sz w:val="28"/>
          <w:szCs w:val="28"/>
          <w:lang w:val="fr-FR"/>
        </w:rPr>
        <w:t>9</w:t>
      </w:r>
      <w:r w:rsidR="00F97DF9">
        <w:rPr>
          <w:rFonts w:ascii="Calibri" w:hAnsi="Calibri"/>
          <w:b w:val="0"/>
          <w:bCs w:val="0"/>
          <w:sz w:val="28"/>
          <w:szCs w:val="28"/>
          <w:lang w:val="fr-FR"/>
        </w:rPr>
        <w:t>h</w:t>
      </w:r>
      <w:r w:rsidR="00B27E4F">
        <w:rPr>
          <w:rFonts w:ascii="Calibri" w:hAnsi="Calibri"/>
          <w:b w:val="0"/>
          <w:bCs w:val="0"/>
          <w:sz w:val="28"/>
          <w:szCs w:val="28"/>
          <w:lang w:val="fr-FR"/>
        </w:rPr>
        <w:t>15</w:t>
      </w:r>
      <w:r w:rsidRPr="00862559">
        <w:rPr>
          <w:rFonts w:ascii="Calibri" w:hAnsi="Calibri"/>
          <w:b w:val="0"/>
          <w:bCs w:val="0"/>
          <w:sz w:val="28"/>
          <w:szCs w:val="28"/>
          <w:lang w:val="fr-FR"/>
        </w:rPr>
        <w:t xml:space="preserve"> </w:t>
      </w:r>
      <w:r w:rsidR="00F97DF9">
        <w:rPr>
          <w:rFonts w:ascii="Calibri" w:hAnsi="Calibri"/>
          <w:b w:val="0"/>
          <w:bCs w:val="0"/>
          <w:sz w:val="28"/>
          <w:szCs w:val="28"/>
          <w:lang w:val="fr-FR"/>
        </w:rPr>
        <w:t>à</w:t>
      </w:r>
      <w:r w:rsidRPr="00862559">
        <w:rPr>
          <w:rFonts w:ascii="Calibri" w:hAnsi="Calibri"/>
          <w:b w:val="0"/>
          <w:bCs w:val="0"/>
          <w:sz w:val="28"/>
          <w:szCs w:val="28"/>
          <w:lang w:val="fr-FR"/>
        </w:rPr>
        <w:t xml:space="preserve"> 1</w:t>
      </w:r>
      <w:r w:rsidR="00B27E4F">
        <w:rPr>
          <w:rFonts w:ascii="Calibri" w:hAnsi="Calibri"/>
          <w:b w:val="0"/>
          <w:bCs w:val="0"/>
          <w:sz w:val="28"/>
          <w:szCs w:val="28"/>
          <w:lang w:val="fr-FR"/>
        </w:rPr>
        <w:t>1h</w:t>
      </w:r>
    </w:p>
    <w:p w14:paraId="4846B0D2" w14:textId="77777777" w:rsidR="00116AE3" w:rsidRPr="00862559" w:rsidRDefault="00116AE3" w:rsidP="00116AE3">
      <w:pPr>
        <w:rPr>
          <w:lang w:val="fr-FR"/>
        </w:rPr>
      </w:pPr>
    </w:p>
    <w:p w14:paraId="50B8EA2A" w14:textId="77777777" w:rsidR="00116AE3" w:rsidRPr="00862559" w:rsidRDefault="00116AE3" w:rsidP="00116AE3">
      <w:pPr>
        <w:rPr>
          <w:lang w:val="fr-FR"/>
        </w:rPr>
      </w:pPr>
    </w:p>
    <w:p w14:paraId="25EC9584" w14:textId="77777777" w:rsidR="00116AE3" w:rsidRPr="00862559" w:rsidRDefault="00116AE3" w:rsidP="00116AE3">
      <w:pPr>
        <w:pStyle w:val="Heading2"/>
        <w:ind w:left="567" w:hanging="425"/>
        <w:rPr>
          <w:color w:val="ED7D31" w:themeColor="accent2"/>
          <w:sz w:val="36"/>
          <w:szCs w:val="32"/>
          <w:lang w:val="fr-FR"/>
        </w:rPr>
      </w:pPr>
      <w:r w:rsidRPr="00862559">
        <w:rPr>
          <w:color w:val="ED7D31" w:themeColor="accent2"/>
          <w:sz w:val="36"/>
          <w:szCs w:val="32"/>
          <w:lang w:val="fr-FR"/>
        </w:rPr>
        <w:t xml:space="preserve">Contexte </w:t>
      </w:r>
    </w:p>
    <w:p w14:paraId="793A7541" w14:textId="61ED97FD" w:rsidR="009569C9" w:rsidRPr="00862559" w:rsidRDefault="009569C9" w:rsidP="009569C9">
      <w:pPr>
        <w:pStyle w:val="NoSpacing"/>
        <w:jc w:val="both"/>
        <w:rPr>
          <w:lang w:val="fr-FR"/>
        </w:rPr>
      </w:pPr>
      <w:r w:rsidRPr="00862559">
        <w:rPr>
          <w:lang w:val="fr-FR"/>
        </w:rPr>
        <w:t xml:space="preserve">La 6ᵉ Conférence mondiale sur l’élimination du travail des enfants à Marrakech se tient </w:t>
      </w:r>
      <w:r w:rsidR="00A559CF" w:rsidRPr="00862559">
        <w:rPr>
          <w:lang w:val="fr-FR"/>
        </w:rPr>
        <w:t xml:space="preserve">à un moment où il </w:t>
      </w:r>
      <w:r w:rsidR="00375D5B">
        <w:rPr>
          <w:lang w:val="fr-FR"/>
        </w:rPr>
        <w:t xml:space="preserve">apparaît clairement </w:t>
      </w:r>
      <w:r w:rsidR="00A559CF" w:rsidRPr="00862559">
        <w:rPr>
          <w:lang w:val="fr-FR"/>
        </w:rPr>
        <w:t xml:space="preserve">que le monde n’est pas en bonne voie d’atteindre la cible 8.7 des ODD en </w:t>
      </w:r>
      <w:r w:rsidR="00375D5B">
        <w:rPr>
          <w:lang w:val="fr-FR"/>
        </w:rPr>
        <w:t>matière de</w:t>
      </w:r>
      <w:r w:rsidR="00A559CF" w:rsidRPr="00862559">
        <w:rPr>
          <w:lang w:val="fr-FR"/>
        </w:rPr>
        <w:t xml:space="preserve"> travail des enfants. </w:t>
      </w:r>
      <w:r w:rsidRPr="00862559">
        <w:rPr>
          <w:lang w:val="fr-FR"/>
        </w:rPr>
        <w:t xml:space="preserve">De nombreux pays ont adopté ou actualisé des plans d’action nationaux </w:t>
      </w:r>
      <w:r w:rsidR="00E04749" w:rsidRPr="00862559">
        <w:rPr>
          <w:lang w:val="fr-FR"/>
        </w:rPr>
        <w:t>sur</w:t>
      </w:r>
      <w:r w:rsidRPr="00862559">
        <w:rPr>
          <w:lang w:val="fr-FR"/>
        </w:rPr>
        <w:t xml:space="preserve"> le travail des enfants (PAN) ou des stratégies équivalentes, </w:t>
      </w:r>
      <w:r w:rsidR="00AE7FDC" w:rsidRPr="00862559">
        <w:rPr>
          <w:lang w:val="fr-FR"/>
        </w:rPr>
        <w:t xml:space="preserve">avec une reconnaissance croissante du fait que s’attaquer aux causes </w:t>
      </w:r>
      <w:r w:rsidR="00EC13BB">
        <w:rPr>
          <w:lang w:val="fr-FR"/>
        </w:rPr>
        <w:t xml:space="preserve">fondamentales </w:t>
      </w:r>
      <w:r w:rsidR="00AE7FDC" w:rsidRPr="00862559">
        <w:rPr>
          <w:lang w:val="fr-FR"/>
        </w:rPr>
        <w:t>du travail des enfants nécessite d’agir sur des systèmes plus larges et interconnectés</w:t>
      </w:r>
      <w:r w:rsidR="00A22159" w:rsidRPr="00862559">
        <w:rPr>
          <w:lang w:val="fr-FR"/>
        </w:rPr>
        <w:t xml:space="preserve">, </w:t>
      </w:r>
      <w:r w:rsidR="00CF1A1A">
        <w:rPr>
          <w:lang w:val="fr-FR"/>
        </w:rPr>
        <w:t>tels que</w:t>
      </w:r>
      <w:r w:rsidR="00CF1A1A" w:rsidRPr="00862559">
        <w:rPr>
          <w:lang w:val="fr-FR"/>
        </w:rPr>
        <w:t xml:space="preserve"> </w:t>
      </w:r>
      <w:r w:rsidR="00A22159" w:rsidRPr="00862559">
        <w:rPr>
          <w:lang w:val="fr-FR"/>
        </w:rPr>
        <w:t>la</w:t>
      </w:r>
      <w:r w:rsidR="00AE7FDC" w:rsidRPr="00862559">
        <w:rPr>
          <w:lang w:val="fr-FR"/>
        </w:rPr>
        <w:t xml:space="preserve"> protection sociale, </w:t>
      </w:r>
      <w:r w:rsidR="00A22159" w:rsidRPr="00862559">
        <w:rPr>
          <w:lang w:val="fr-FR"/>
        </w:rPr>
        <w:t xml:space="preserve">les </w:t>
      </w:r>
      <w:r w:rsidR="00AE7FDC" w:rsidRPr="00862559">
        <w:rPr>
          <w:lang w:val="fr-FR"/>
        </w:rPr>
        <w:t xml:space="preserve">finances publiques en faveur des enfants, </w:t>
      </w:r>
      <w:r w:rsidR="00A22159" w:rsidRPr="00862559">
        <w:rPr>
          <w:lang w:val="fr-FR"/>
        </w:rPr>
        <w:t>l’</w:t>
      </w:r>
      <w:r w:rsidR="00AE7FDC" w:rsidRPr="00862559">
        <w:rPr>
          <w:lang w:val="fr-FR"/>
        </w:rPr>
        <w:t xml:space="preserve">éducation et </w:t>
      </w:r>
      <w:r w:rsidR="00A22159" w:rsidRPr="00862559">
        <w:rPr>
          <w:lang w:val="fr-FR"/>
        </w:rPr>
        <w:t xml:space="preserve">les </w:t>
      </w:r>
      <w:r w:rsidR="00AE7FDC" w:rsidRPr="00862559">
        <w:rPr>
          <w:lang w:val="fr-FR"/>
        </w:rPr>
        <w:t xml:space="preserve">compétences, </w:t>
      </w:r>
      <w:r w:rsidR="00A22159" w:rsidRPr="00862559">
        <w:rPr>
          <w:lang w:val="fr-FR"/>
        </w:rPr>
        <w:t xml:space="preserve">les </w:t>
      </w:r>
      <w:r w:rsidR="00AE7FDC" w:rsidRPr="00862559">
        <w:rPr>
          <w:lang w:val="fr-FR"/>
        </w:rPr>
        <w:t xml:space="preserve">marchés du travail, </w:t>
      </w:r>
      <w:r w:rsidR="00A22159" w:rsidRPr="00862559">
        <w:rPr>
          <w:lang w:val="fr-FR"/>
        </w:rPr>
        <w:t xml:space="preserve">les </w:t>
      </w:r>
      <w:r w:rsidR="00AE7FDC" w:rsidRPr="00862559">
        <w:rPr>
          <w:lang w:val="fr-FR"/>
        </w:rPr>
        <w:t xml:space="preserve">moyens de subsistance ruraux, ainsi que </w:t>
      </w:r>
      <w:r w:rsidR="00977CAB" w:rsidRPr="00862559">
        <w:rPr>
          <w:lang w:val="fr-FR"/>
        </w:rPr>
        <w:t xml:space="preserve">les </w:t>
      </w:r>
      <w:r w:rsidR="00AE7FDC" w:rsidRPr="00862559">
        <w:rPr>
          <w:lang w:val="fr-FR"/>
        </w:rPr>
        <w:t xml:space="preserve">politiques commerciales et </w:t>
      </w:r>
      <w:r w:rsidR="00CF1A1A">
        <w:rPr>
          <w:lang w:val="fr-FR"/>
        </w:rPr>
        <w:t xml:space="preserve">la </w:t>
      </w:r>
      <w:r w:rsidR="00AE7FDC" w:rsidRPr="00862559">
        <w:rPr>
          <w:lang w:val="fr-FR"/>
        </w:rPr>
        <w:t>gouvernance des chaînes de valeur.</w:t>
      </w:r>
    </w:p>
    <w:p w14:paraId="52B137C6" w14:textId="0F2E9301" w:rsidR="009569C9" w:rsidRPr="00862559" w:rsidRDefault="009569C9" w:rsidP="009569C9">
      <w:pPr>
        <w:pStyle w:val="NoSpacing"/>
        <w:jc w:val="both"/>
        <w:rPr>
          <w:lang w:val="fr-FR"/>
        </w:rPr>
      </w:pPr>
      <w:r w:rsidRPr="00862559">
        <w:rPr>
          <w:lang w:val="fr-FR"/>
        </w:rPr>
        <w:t>Les travaux de l’OIT montrent que l’investissement dans la prévention et l’élimination du travail des enfants</w:t>
      </w:r>
      <w:r w:rsidR="00693325" w:rsidRPr="00862559">
        <w:rPr>
          <w:lang w:val="fr-FR"/>
        </w:rPr>
        <w:t>,</w:t>
      </w:r>
      <w:r w:rsidRPr="00862559">
        <w:rPr>
          <w:lang w:val="fr-FR"/>
        </w:rPr>
        <w:t xml:space="preserve"> </w:t>
      </w:r>
      <w:r w:rsidR="00DA21FC" w:rsidRPr="00862559">
        <w:rPr>
          <w:lang w:val="fr-FR"/>
        </w:rPr>
        <w:t>par le biais de</w:t>
      </w:r>
      <w:r w:rsidRPr="00862559">
        <w:rPr>
          <w:lang w:val="fr-FR"/>
        </w:rPr>
        <w:t xml:space="preserve"> la protection sociale, </w:t>
      </w:r>
      <w:r w:rsidR="00DA21FC" w:rsidRPr="00862559">
        <w:rPr>
          <w:lang w:val="fr-FR"/>
        </w:rPr>
        <w:t xml:space="preserve">de </w:t>
      </w:r>
      <w:r w:rsidRPr="00862559">
        <w:rPr>
          <w:lang w:val="fr-FR"/>
        </w:rPr>
        <w:t xml:space="preserve">l’éducation, </w:t>
      </w:r>
      <w:r w:rsidR="00DA21FC" w:rsidRPr="00862559">
        <w:rPr>
          <w:lang w:val="fr-FR"/>
        </w:rPr>
        <w:t>du</w:t>
      </w:r>
      <w:r w:rsidRPr="00862559">
        <w:rPr>
          <w:lang w:val="fr-FR"/>
        </w:rPr>
        <w:t xml:space="preserve"> travail décent et de mesures de remédiation lorsque des enfants sont </w:t>
      </w:r>
      <w:r w:rsidR="00E5231B" w:rsidRPr="00862559">
        <w:rPr>
          <w:lang w:val="fr-FR"/>
        </w:rPr>
        <w:t>astreints au travail des enfants</w:t>
      </w:r>
      <w:r w:rsidR="009577ED" w:rsidRPr="00862559">
        <w:rPr>
          <w:lang w:val="fr-FR"/>
        </w:rPr>
        <w:t>,</w:t>
      </w:r>
      <w:r w:rsidRPr="00862559">
        <w:rPr>
          <w:lang w:val="fr-FR"/>
        </w:rPr>
        <w:t xml:space="preserve"> génère des bénéfices sociaux et économiques largement supérieurs aux coûts. Une analyse coûts</w:t>
      </w:r>
      <w:r w:rsidR="00722946" w:rsidRPr="00862559">
        <w:rPr>
          <w:lang w:val="fr-FR"/>
        </w:rPr>
        <w:t>-</w:t>
      </w:r>
      <w:r w:rsidRPr="00862559">
        <w:rPr>
          <w:lang w:val="fr-FR"/>
        </w:rPr>
        <w:t>bénéfices mondiale a estimé que les bénéfices économiques d’une élimination du travail des enfants pourraient être près de sept fois supérieurs aux coûts financiers, tandis que des analyses récentes sur le</w:t>
      </w:r>
      <w:r w:rsidR="00855F95" w:rsidRPr="00862559">
        <w:rPr>
          <w:lang w:val="fr-FR"/>
        </w:rPr>
        <w:t xml:space="preserve"> déficit </w:t>
      </w:r>
      <w:r w:rsidRPr="00862559">
        <w:rPr>
          <w:lang w:val="fr-FR"/>
        </w:rPr>
        <w:t xml:space="preserve">de financement de la protection sociale confirment que ces investissements </w:t>
      </w:r>
      <w:r w:rsidR="00722946" w:rsidRPr="00862559">
        <w:rPr>
          <w:lang w:val="fr-FR"/>
        </w:rPr>
        <w:t>constituent</w:t>
      </w:r>
      <w:r w:rsidRPr="00862559">
        <w:rPr>
          <w:lang w:val="fr-FR"/>
        </w:rPr>
        <w:t xml:space="preserve"> un socle de croissance inclusive et durable, et non une simple dépense.</w:t>
      </w:r>
    </w:p>
    <w:p w14:paraId="73B575D4" w14:textId="0E4AAC3A" w:rsidR="009569C9" w:rsidRPr="00862559" w:rsidRDefault="009569C9" w:rsidP="009569C9">
      <w:pPr>
        <w:pStyle w:val="NoSpacing"/>
        <w:jc w:val="both"/>
        <w:rPr>
          <w:lang w:val="fr-FR"/>
        </w:rPr>
      </w:pPr>
      <w:r w:rsidRPr="00862559">
        <w:rPr>
          <w:lang w:val="fr-FR"/>
        </w:rPr>
        <w:t>Pourtant, le financement reste en deçà des engagements politiques</w:t>
      </w:r>
      <w:r w:rsidR="00CF1A1A">
        <w:rPr>
          <w:lang w:val="fr-FR"/>
        </w:rPr>
        <w:t>. D</w:t>
      </w:r>
      <w:r w:rsidRPr="00862559">
        <w:rPr>
          <w:lang w:val="fr-FR"/>
        </w:rPr>
        <w:t xml:space="preserve">ans de nombreux pays, les PAN et </w:t>
      </w:r>
      <w:r w:rsidR="00664F76">
        <w:rPr>
          <w:lang w:val="fr-FR"/>
        </w:rPr>
        <w:t xml:space="preserve">les </w:t>
      </w:r>
      <w:r w:rsidRPr="00862559">
        <w:rPr>
          <w:lang w:val="fr-FR"/>
        </w:rPr>
        <w:t xml:space="preserve">stratégies connexes ne sont </w:t>
      </w:r>
      <w:r w:rsidR="001D5771">
        <w:rPr>
          <w:lang w:val="fr-FR"/>
        </w:rPr>
        <w:t>pas ou seulement</w:t>
      </w:r>
      <w:r w:rsidRPr="00862559">
        <w:rPr>
          <w:lang w:val="fr-FR"/>
        </w:rPr>
        <w:t xml:space="preserve"> </w:t>
      </w:r>
      <w:r w:rsidRPr="00862559">
        <w:rPr>
          <w:lang w:val="fr-FR"/>
        </w:rPr>
        <w:lastRenderedPageBreak/>
        <w:t>partiellement financés; les systèmes clés (protection sociale, éducation, inspection du travail, protection de l’enfance) demeurent sous-dotés et vulnérables aux contraintes budgétaires</w:t>
      </w:r>
      <w:r w:rsidR="00B27E4F">
        <w:rPr>
          <w:lang w:val="fr-FR"/>
        </w:rPr>
        <w:t xml:space="preserve"> </w:t>
      </w:r>
      <w:r w:rsidR="00B27E4F" w:rsidRPr="00B27E4F">
        <w:rPr>
          <w:lang w:val="fr-FR"/>
        </w:rPr>
        <w:t>et, dans de nombreux cas, ne couvrent pas, ou insuffisamment, les personnes travaillant dans l’économie informelle</w:t>
      </w:r>
      <w:r w:rsidRPr="00862559">
        <w:rPr>
          <w:lang w:val="fr-FR"/>
        </w:rPr>
        <w:t xml:space="preserve">; et les mesures pertinentes pour </w:t>
      </w:r>
      <w:r w:rsidR="00AA173F">
        <w:rPr>
          <w:lang w:val="fr-FR"/>
        </w:rPr>
        <w:t xml:space="preserve">l’élimination du </w:t>
      </w:r>
      <w:r w:rsidRPr="00862559">
        <w:rPr>
          <w:lang w:val="fr-FR"/>
        </w:rPr>
        <w:t xml:space="preserve">travail des enfants sont souvent noyées dans les budgets généraux, sans allocations ni indicateurs traçables. Il persiste ainsi un écart manifeste entre </w:t>
      </w:r>
      <w:r w:rsidR="00D578E9">
        <w:rPr>
          <w:lang w:val="fr-FR"/>
        </w:rPr>
        <w:t xml:space="preserve">la </w:t>
      </w:r>
      <w:r w:rsidRPr="00862559">
        <w:rPr>
          <w:lang w:val="fr-FR"/>
        </w:rPr>
        <w:t xml:space="preserve">conception des politiques et </w:t>
      </w:r>
      <w:r w:rsidR="00D578E9">
        <w:rPr>
          <w:lang w:val="fr-FR"/>
        </w:rPr>
        <w:t xml:space="preserve">un </w:t>
      </w:r>
      <w:r w:rsidRPr="00862559">
        <w:rPr>
          <w:lang w:val="fr-FR"/>
        </w:rPr>
        <w:t>financement effectif et pérenne.</w:t>
      </w:r>
    </w:p>
    <w:p w14:paraId="13762A1F" w14:textId="3A86B689" w:rsidR="009569C9" w:rsidRPr="00862559" w:rsidRDefault="009569C9" w:rsidP="009569C9">
      <w:pPr>
        <w:pStyle w:val="NoSpacing"/>
        <w:jc w:val="both"/>
        <w:rPr>
          <w:lang w:val="fr-FR"/>
        </w:rPr>
      </w:pPr>
      <w:r w:rsidRPr="00862559">
        <w:rPr>
          <w:lang w:val="fr-FR"/>
        </w:rPr>
        <w:t xml:space="preserve">L’Appel à l’action de Durban a déjà mis l’accent sur la mobilisation des ressources nationales, le financement adéquat des PAN, l’intégration </w:t>
      </w:r>
      <w:r w:rsidR="006D5C65">
        <w:rPr>
          <w:lang w:val="fr-FR"/>
        </w:rPr>
        <w:t>des questions relatives au</w:t>
      </w:r>
      <w:r w:rsidR="006D5C65" w:rsidRPr="00862559">
        <w:rPr>
          <w:lang w:val="fr-FR"/>
        </w:rPr>
        <w:t xml:space="preserve"> </w:t>
      </w:r>
      <w:r w:rsidRPr="00862559">
        <w:rPr>
          <w:lang w:val="fr-FR"/>
        </w:rPr>
        <w:t xml:space="preserve">travail des enfants dans les politiques de développement, la cohérence entre politiques sociales et économiques, la soutenabilité de la dette et le rôle des institutions financières internationales. Les discussions récentes de </w:t>
      </w:r>
      <w:r w:rsidR="000F0B0C">
        <w:rPr>
          <w:lang w:val="fr-FR"/>
        </w:rPr>
        <w:t xml:space="preserve">la </w:t>
      </w:r>
      <w:r w:rsidR="00EC21C7">
        <w:rPr>
          <w:lang w:val="fr-FR"/>
        </w:rPr>
        <w:t>4</w:t>
      </w:r>
      <w:r w:rsidR="00EC21C7" w:rsidRPr="00EC21C7">
        <w:rPr>
          <w:vertAlign w:val="superscript"/>
          <w:lang w:val="fr-FR"/>
        </w:rPr>
        <w:t>e</w:t>
      </w:r>
      <w:r w:rsidR="00EC21C7">
        <w:rPr>
          <w:lang w:val="fr-FR"/>
        </w:rPr>
        <w:t xml:space="preserve"> Conférence international sur le financement du développement (FfD4) à </w:t>
      </w:r>
      <w:r w:rsidRPr="00862559">
        <w:rPr>
          <w:lang w:val="fr-FR"/>
        </w:rPr>
        <w:t>Séville ont</w:t>
      </w:r>
      <w:r w:rsidR="00BC25C9">
        <w:rPr>
          <w:lang w:val="fr-FR"/>
        </w:rPr>
        <w:t xml:space="preserve"> également mis en évidence</w:t>
      </w:r>
      <w:r w:rsidRPr="00862559">
        <w:rPr>
          <w:lang w:val="fr-FR"/>
        </w:rPr>
        <w:t xml:space="preserve"> l’importance de la mobilisation des ressources intérieures, de systèmes fiscaux équitables, de la gestion et de l’allègement de la dette, </w:t>
      </w:r>
      <w:r w:rsidR="00A4173F">
        <w:rPr>
          <w:lang w:val="fr-FR"/>
        </w:rPr>
        <w:t xml:space="preserve">ainsi que </w:t>
      </w:r>
      <w:r w:rsidRPr="00862559">
        <w:rPr>
          <w:lang w:val="fr-FR"/>
        </w:rPr>
        <w:t>du financement mixte public-privé.</w:t>
      </w:r>
    </w:p>
    <w:p w14:paraId="30D8F32E" w14:textId="4D8AC562" w:rsidR="00116AE3" w:rsidRPr="00862559" w:rsidRDefault="009569C9" w:rsidP="009569C9">
      <w:pPr>
        <w:pStyle w:val="NoSpacing"/>
        <w:jc w:val="both"/>
        <w:rPr>
          <w:b/>
          <w:lang w:val="fr-FR"/>
        </w:rPr>
      </w:pPr>
      <w:r w:rsidRPr="00862559">
        <w:rPr>
          <w:lang w:val="fr-FR"/>
        </w:rPr>
        <w:t xml:space="preserve">Dans ce contexte, la session </w:t>
      </w:r>
      <w:r w:rsidR="00BC25C9">
        <w:rPr>
          <w:lang w:val="fr-FR"/>
        </w:rPr>
        <w:t>examinera d</w:t>
      </w:r>
      <w:r w:rsidRPr="00862559">
        <w:rPr>
          <w:lang w:val="fr-FR"/>
        </w:rPr>
        <w:t xml:space="preserve">e manière concrète comment </w:t>
      </w:r>
      <w:r w:rsidR="0097031F">
        <w:rPr>
          <w:lang w:val="fr-FR"/>
        </w:rPr>
        <w:t>progresser</w:t>
      </w:r>
      <w:r w:rsidR="0097031F" w:rsidRPr="00862559">
        <w:rPr>
          <w:lang w:val="fr-FR"/>
        </w:rPr>
        <w:t xml:space="preserve"> </w:t>
      </w:r>
      <w:r w:rsidRPr="00862559">
        <w:rPr>
          <w:lang w:val="fr-FR"/>
        </w:rPr>
        <w:t xml:space="preserve">vers des stratégies nationales cohérentes et durablement financées pour </w:t>
      </w:r>
      <w:r w:rsidR="00A01EA0" w:rsidRPr="00862559">
        <w:rPr>
          <w:lang w:val="fr-FR"/>
        </w:rPr>
        <w:t>la prévention et l’élimination du</w:t>
      </w:r>
      <w:r w:rsidRPr="00862559">
        <w:rPr>
          <w:lang w:val="fr-FR"/>
        </w:rPr>
        <w:t xml:space="preserve"> travail des enfants, reposant principalement sur les budgets nationaux et complétées par la finance publique internationale </w:t>
      </w:r>
      <w:r w:rsidR="004411B4">
        <w:rPr>
          <w:lang w:val="fr-FR"/>
        </w:rPr>
        <w:t>ainsi que par</w:t>
      </w:r>
      <w:r w:rsidR="004411B4" w:rsidRPr="00862559">
        <w:rPr>
          <w:lang w:val="fr-FR"/>
        </w:rPr>
        <w:t xml:space="preserve"> </w:t>
      </w:r>
      <w:r w:rsidRPr="00862559">
        <w:rPr>
          <w:lang w:val="fr-FR"/>
        </w:rPr>
        <w:t>des investissements privés et philanthropiques responsables.</w:t>
      </w:r>
    </w:p>
    <w:p w14:paraId="0DF5EA5B" w14:textId="77777777" w:rsidR="00116AE3" w:rsidRPr="00862559" w:rsidRDefault="00116AE3" w:rsidP="00116AE3">
      <w:pPr>
        <w:jc w:val="both"/>
        <w:rPr>
          <w:lang w:val="fr-FR"/>
        </w:rPr>
      </w:pPr>
    </w:p>
    <w:p w14:paraId="2E2C52D7" w14:textId="77777777" w:rsidR="00116AE3" w:rsidRPr="00862559" w:rsidRDefault="00116AE3" w:rsidP="00116AE3">
      <w:pPr>
        <w:pStyle w:val="Heading2"/>
        <w:ind w:left="567" w:hanging="283"/>
        <w:rPr>
          <w:color w:val="ED7D31" w:themeColor="accent2"/>
          <w:sz w:val="36"/>
          <w:szCs w:val="32"/>
          <w:lang w:val="fr-FR"/>
        </w:rPr>
      </w:pPr>
      <w:r w:rsidRPr="00862559">
        <w:rPr>
          <w:color w:val="ED7D31" w:themeColor="accent2"/>
          <w:sz w:val="36"/>
          <w:szCs w:val="32"/>
          <w:lang w:val="fr-FR"/>
        </w:rPr>
        <w:t xml:space="preserve">Questions abordées </w:t>
      </w:r>
    </w:p>
    <w:p w14:paraId="5C96D1A3" w14:textId="42B15CE8" w:rsidR="0087284D" w:rsidRPr="00862559" w:rsidRDefault="0087284D" w:rsidP="0087284D">
      <w:pPr>
        <w:jc w:val="both"/>
        <w:rPr>
          <w:color w:val="006A66"/>
          <w:sz w:val="28"/>
          <w:lang w:val="fr-FR"/>
        </w:rPr>
      </w:pPr>
      <w:r w:rsidRPr="00862559">
        <w:rPr>
          <w:color w:val="006A66"/>
          <w:sz w:val="28"/>
          <w:lang w:val="fr-FR"/>
        </w:rPr>
        <w:t>La session vise à :</w:t>
      </w:r>
    </w:p>
    <w:p w14:paraId="20F54A9C" w14:textId="5F90B6BC" w:rsidR="0087284D" w:rsidRPr="00862559" w:rsidRDefault="0087284D" w:rsidP="0087284D">
      <w:pPr>
        <w:pStyle w:val="ListParagraph"/>
        <w:numPr>
          <w:ilvl w:val="0"/>
          <w:numId w:val="9"/>
        </w:numPr>
        <w:spacing w:after="120"/>
        <w:ind w:left="714" w:hanging="357"/>
        <w:contextualSpacing w:val="0"/>
        <w:jc w:val="both"/>
        <w:rPr>
          <w:color w:val="006A66"/>
          <w:kern w:val="0"/>
          <w:sz w:val="28"/>
          <w:lang w:val="fr-FR"/>
          <w14:ligatures w14:val="none"/>
        </w:rPr>
      </w:pPr>
      <w:r w:rsidRPr="00862559">
        <w:rPr>
          <w:color w:val="006A66"/>
          <w:kern w:val="0"/>
          <w:sz w:val="28"/>
          <w:lang w:val="fr-FR"/>
          <w14:ligatures w14:val="none"/>
        </w:rPr>
        <w:t xml:space="preserve">Clarifier les besoins et </w:t>
      </w:r>
      <w:r w:rsidR="004411B4">
        <w:rPr>
          <w:color w:val="006A66"/>
          <w:kern w:val="0"/>
          <w:sz w:val="28"/>
          <w:lang w:val="fr-FR"/>
          <w14:ligatures w14:val="none"/>
        </w:rPr>
        <w:t xml:space="preserve">les </w:t>
      </w:r>
      <w:r w:rsidRPr="00862559">
        <w:rPr>
          <w:color w:val="006A66"/>
          <w:kern w:val="0"/>
          <w:sz w:val="28"/>
          <w:lang w:val="fr-FR"/>
          <w14:ligatures w14:val="none"/>
        </w:rPr>
        <w:t xml:space="preserve">lacunes de financement pour prévenir et éliminer le travail des enfants, en particulier </w:t>
      </w:r>
      <w:r w:rsidR="00405681">
        <w:rPr>
          <w:color w:val="006A66"/>
          <w:kern w:val="0"/>
          <w:sz w:val="28"/>
          <w:lang w:val="fr-FR"/>
          <w14:ligatures w14:val="none"/>
        </w:rPr>
        <w:t>en matière de</w:t>
      </w:r>
      <w:r w:rsidRPr="00862559">
        <w:rPr>
          <w:color w:val="006A66"/>
          <w:kern w:val="0"/>
          <w:sz w:val="28"/>
          <w:lang w:val="fr-FR"/>
          <w14:ligatures w14:val="none"/>
        </w:rPr>
        <w:t xml:space="preserve"> protection sociale (</w:t>
      </w:r>
      <w:r w:rsidR="00405681">
        <w:rPr>
          <w:color w:val="006A66"/>
          <w:kern w:val="0"/>
          <w:sz w:val="28"/>
          <w:lang w:val="fr-FR"/>
          <w14:ligatures w14:val="none"/>
        </w:rPr>
        <w:t xml:space="preserve">y compris les </w:t>
      </w:r>
      <w:r w:rsidRPr="00862559">
        <w:rPr>
          <w:color w:val="006A66"/>
          <w:kern w:val="0"/>
          <w:sz w:val="28"/>
          <w:lang w:val="fr-FR"/>
          <w14:ligatures w14:val="none"/>
        </w:rPr>
        <w:t xml:space="preserve">prestations familiales), l’éducation de base inclusive et de qualité, l’inspection du travail et </w:t>
      </w:r>
      <w:r w:rsidR="00D067AE">
        <w:rPr>
          <w:color w:val="006A66"/>
          <w:kern w:val="0"/>
          <w:sz w:val="28"/>
          <w:lang w:val="fr-FR"/>
          <w14:ligatures w14:val="none"/>
        </w:rPr>
        <w:t>d</w:t>
      </w:r>
      <w:r w:rsidRPr="00862559">
        <w:rPr>
          <w:color w:val="006A66"/>
          <w:kern w:val="0"/>
          <w:sz w:val="28"/>
          <w:lang w:val="fr-FR"/>
          <w14:ligatures w14:val="none"/>
        </w:rPr>
        <w:t xml:space="preserve">e suivi du travail des enfants, </w:t>
      </w:r>
      <w:r w:rsidR="0025264C">
        <w:rPr>
          <w:color w:val="006A66"/>
          <w:kern w:val="0"/>
          <w:sz w:val="28"/>
          <w:lang w:val="fr-FR"/>
          <w14:ligatures w14:val="none"/>
        </w:rPr>
        <w:t>de</w:t>
      </w:r>
      <w:r w:rsidRPr="00862559">
        <w:rPr>
          <w:color w:val="006A66"/>
          <w:kern w:val="0"/>
          <w:sz w:val="28"/>
          <w:lang w:val="fr-FR"/>
          <w14:ligatures w14:val="none"/>
        </w:rPr>
        <w:t xml:space="preserve"> protection de l’enfance</w:t>
      </w:r>
      <w:r w:rsidR="0025264C">
        <w:rPr>
          <w:color w:val="006A66"/>
          <w:kern w:val="0"/>
          <w:sz w:val="28"/>
          <w:lang w:val="fr-FR"/>
          <w14:ligatures w14:val="none"/>
        </w:rPr>
        <w:t>,</w:t>
      </w:r>
      <w:r w:rsidRPr="00862559">
        <w:rPr>
          <w:color w:val="006A66"/>
          <w:kern w:val="0"/>
          <w:sz w:val="28"/>
          <w:lang w:val="fr-FR"/>
          <w14:ligatures w14:val="none"/>
        </w:rPr>
        <w:t xml:space="preserve"> ainsi que </w:t>
      </w:r>
      <w:r w:rsidR="0025264C">
        <w:rPr>
          <w:color w:val="006A66"/>
          <w:kern w:val="0"/>
          <w:sz w:val="28"/>
          <w:lang w:val="fr-FR"/>
          <w14:ligatures w14:val="none"/>
        </w:rPr>
        <w:t>d</w:t>
      </w:r>
      <w:r w:rsidRPr="00862559">
        <w:rPr>
          <w:color w:val="006A66"/>
          <w:kern w:val="0"/>
          <w:sz w:val="28"/>
          <w:lang w:val="fr-FR"/>
          <w14:ligatures w14:val="none"/>
        </w:rPr>
        <w:t xml:space="preserve">e travail décent et </w:t>
      </w:r>
      <w:r w:rsidR="0025264C">
        <w:rPr>
          <w:color w:val="006A66"/>
          <w:kern w:val="0"/>
          <w:sz w:val="28"/>
          <w:lang w:val="fr-FR"/>
          <w14:ligatures w14:val="none"/>
        </w:rPr>
        <w:t>de</w:t>
      </w:r>
      <w:r w:rsidRPr="00862559">
        <w:rPr>
          <w:color w:val="006A66"/>
          <w:kern w:val="0"/>
          <w:sz w:val="28"/>
          <w:lang w:val="fr-FR"/>
          <w14:ligatures w14:val="none"/>
        </w:rPr>
        <w:t xml:space="preserve"> moyens de subsistance des adultes.</w:t>
      </w:r>
    </w:p>
    <w:p w14:paraId="7D3C07D4" w14:textId="76969D31" w:rsidR="0087284D" w:rsidRPr="00862559" w:rsidRDefault="0087284D" w:rsidP="0087284D">
      <w:pPr>
        <w:pStyle w:val="ListParagraph"/>
        <w:numPr>
          <w:ilvl w:val="0"/>
          <w:numId w:val="9"/>
        </w:numPr>
        <w:spacing w:after="120"/>
        <w:ind w:left="714" w:hanging="357"/>
        <w:contextualSpacing w:val="0"/>
        <w:jc w:val="both"/>
        <w:rPr>
          <w:color w:val="006A66"/>
          <w:kern w:val="0"/>
          <w:sz w:val="28"/>
          <w:lang w:val="fr-FR"/>
          <w14:ligatures w14:val="none"/>
        </w:rPr>
      </w:pPr>
      <w:r w:rsidRPr="00862559">
        <w:rPr>
          <w:color w:val="006A66"/>
          <w:kern w:val="0"/>
          <w:sz w:val="28"/>
          <w:lang w:val="fr-FR"/>
          <w14:ligatures w14:val="none"/>
        </w:rPr>
        <w:t xml:space="preserve">Mettre en lumière les interventions et systèmes les plus rentables, à partir de l’analyse coûts–bénéfices mondiale de 2004, de nouveaux travaux </w:t>
      </w:r>
      <w:r w:rsidR="00D05C38">
        <w:rPr>
          <w:color w:val="006A66"/>
          <w:kern w:val="0"/>
          <w:sz w:val="28"/>
          <w:lang w:val="fr-FR"/>
          <w14:ligatures w14:val="none"/>
        </w:rPr>
        <w:t>de l’</w:t>
      </w:r>
      <w:r w:rsidRPr="00862559">
        <w:rPr>
          <w:color w:val="006A66"/>
          <w:kern w:val="0"/>
          <w:sz w:val="28"/>
          <w:lang w:val="fr-FR"/>
          <w14:ligatures w14:val="none"/>
        </w:rPr>
        <w:t xml:space="preserve">OIT </w:t>
      </w:r>
      <w:r w:rsidR="00D05C38">
        <w:rPr>
          <w:color w:val="006A66"/>
          <w:kern w:val="0"/>
          <w:sz w:val="28"/>
          <w:lang w:val="fr-FR"/>
          <w14:ligatures w14:val="none"/>
        </w:rPr>
        <w:t xml:space="preserve">sur les </w:t>
      </w:r>
      <w:r w:rsidRPr="00862559">
        <w:rPr>
          <w:color w:val="006A66"/>
          <w:kern w:val="0"/>
          <w:sz w:val="28"/>
          <w:lang w:val="fr-FR"/>
          <w14:ligatures w14:val="none"/>
        </w:rPr>
        <w:t xml:space="preserve">coûts </w:t>
      </w:r>
      <w:r w:rsidR="00D05C38">
        <w:rPr>
          <w:color w:val="006A66"/>
          <w:kern w:val="0"/>
          <w:sz w:val="28"/>
          <w:lang w:val="fr-FR"/>
          <w14:ligatures w14:val="none"/>
        </w:rPr>
        <w:t xml:space="preserve">et les analyses </w:t>
      </w:r>
      <w:r w:rsidRPr="00862559">
        <w:rPr>
          <w:color w:val="006A66"/>
          <w:kern w:val="0"/>
          <w:sz w:val="28"/>
          <w:lang w:val="fr-FR"/>
          <w14:ligatures w14:val="none"/>
        </w:rPr>
        <w:t xml:space="preserve">coûts–bénéfices, </w:t>
      </w:r>
      <w:r w:rsidR="00B91DB1">
        <w:rPr>
          <w:color w:val="006A66"/>
          <w:kern w:val="0"/>
          <w:sz w:val="28"/>
          <w:lang w:val="fr-FR"/>
          <w14:ligatures w14:val="none"/>
        </w:rPr>
        <w:t>ainsi que</w:t>
      </w:r>
      <w:r w:rsidRPr="00862559">
        <w:rPr>
          <w:color w:val="006A66"/>
          <w:kern w:val="0"/>
          <w:sz w:val="28"/>
          <w:lang w:val="fr-FR"/>
          <w14:ligatures w14:val="none"/>
        </w:rPr>
        <w:t xml:space="preserve"> d’analyses des </w:t>
      </w:r>
      <w:r w:rsidRPr="00862559">
        <w:rPr>
          <w:color w:val="006A66"/>
          <w:kern w:val="0"/>
          <w:sz w:val="28"/>
          <w:lang w:val="fr-FR"/>
          <w14:ligatures w14:val="none"/>
        </w:rPr>
        <w:lastRenderedPageBreak/>
        <w:t>écarts de financement de la protection sociale, afin de mieux appréhender les ordres de grandeur et les retours attendus des investissements.</w:t>
      </w:r>
    </w:p>
    <w:p w14:paraId="030542F6" w14:textId="207A11D6" w:rsidR="0087284D" w:rsidRPr="00862559" w:rsidRDefault="0087284D" w:rsidP="0087284D">
      <w:pPr>
        <w:pStyle w:val="ListParagraph"/>
        <w:numPr>
          <w:ilvl w:val="0"/>
          <w:numId w:val="9"/>
        </w:numPr>
        <w:spacing w:after="120"/>
        <w:ind w:left="714" w:hanging="357"/>
        <w:contextualSpacing w:val="0"/>
        <w:jc w:val="both"/>
        <w:rPr>
          <w:color w:val="006A66"/>
          <w:kern w:val="0"/>
          <w:sz w:val="28"/>
          <w:lang w:val="fr-FR"/>
          <w14:ligatures w14:val="none"/>
        </w:rPr>
      </w:pPr>
      <w:r w:rsidRPr="00862559">
        <w:rPr>
          <w:color w:val="006A66"/>
          <w:kern w:val="0"/>
          <w:sz w:val="28"/>
          <w:lang w:val="fr-FR"/>
          <w14:ligatures w14:val="none"/>
        </w:rPr>
        <w:t xml:space="preserve">Discuter de stratégies concrètes de mobilisation des ressources intérieures et d’utilisation de l’espace budgétaire, incluant </w:t>
      </w:r>
      <w:r w:rsidR="001149B5">
        <w:rPr>
          <w:color w:val="006A66"/>
          <w:kern w:val="0"/>
          <w:sz w:val="28"/>
          <w:lang w:val="fr-FR"/>
          <w14:ligatures w14:val="none"/>
        </w:rPr>
        <w:t xml:space="preserve">les </w:t>
      </w:r>
      <w:r w:rsidRPr="00862559">
        <w:rPr>
          <w:color w:val="006A66"/>
          <w:kern w:val="0"/>
          <w:sz w:val="28"/>
          <w:lang w:val="fr-FR"/>
          <w14:ligatures w14:val="none"/>
        </w:rPr>
        <w:t xml:space="preserve">réformes fiscales et de cotisations, </w:t>
      </w:r>
      <w:r w:rsidR="00DB789D">
        <w:rPr>
          <w:color w:val="006A66"/>
          <w:kern w:val="0"/>
          <w:sz w:val="28"/>
          <w:lang w:val="fr-FR"/>
          <w14:ligatures w14:val="none"/>
        </w:rPr>
        <w:t xml:space="preserve">la </w:t>
      </w:r>
      <w:r w:rsidRPr="00862559">
        <w:rPr>
          <w:color w:val="006A66"/>
          <w:kern w:val="0"/>
          <w:sz w:val="28"/>
          <w:lang w:val="fr-FR"/>
          <w14:ligatures w14:val="none"/>
        </w:rPr>
        <w:t>réaffectation de</w:t>
      </w:r>
      <w:r w:rsidR="00DB789D">
        <w:rPr>
          <w:color w:val="006A66"/>
          <w:kern w:val="0"/>
          <w:sz w:val="28"/>
          <w:lang w:val="fr-FR"/>
          <w14:ligatures w14:val="none"/>
        </w:rPr>
        <w:t>s</w:t>
      </w:r>
      <w:r w:rsidRPr="00862559">
        <w:rPr>
          <w:color w:val="006A66"/>
          <w:kern w:val="0"/>
          <w:sz w:val="28"/>
          <w:lang w:val="fr-FR"/>
          <w14:ligatures w14:val="none"/>
        </w:rPr>
        <w:t xml:space="preserve"> dépenses, </w:t>
      </w:r>
      <w:r w:rsidR="00DB789D">
        <w:rPr>
          <w:color w:val="006A66"/>
          <w:kern w:val="0"/>
          <w:sz w:val="28"/>
          <w:lang w:val="fr-FR"/>
          <w14:ligatures w14:val="none"/>
        </w:rPr>
        <w:t xml:space="preserve">la </w:t>
      </w:r>
      <w:r w:rsidRPr="00862559">
        <w:rPr>
          <w:color w:val="006A66"/>
          <w:kern w:val="0"/>
          <w:sz w:val="28"/>
          <w:lang w:val="fr-FR"/>
          <w14:ligatures w14:val="none"/>
        </w:rPr>
        <w:t xml:space="preserve">réforme des subventions régressives, </w:t>
      </w:r>
      <w:r w:rsidR="00DB789D">
        <w:rPr>
          <w:color w:val="006A66"/>
          <w:kern w:val="0"/>
          <w:sz w:val="28"/>
          <w:lang w:val="fr-FR"/>
          <w14:ligatures w14:val="none"/>
        </w:rPr>
        <w:t xml:space="preserve">la </w:t>
      </w:r>
      <w:r w:rsidRPr="00862559">
        <w:rPr>
          <w:color w:val="006A66"/>
          <w:kern w:val="0"/>
          <w:sz w:val="28"/>
          <w:lang w:val="fr-FR"/>
          <w14:ligatures w14:val="none"/>
        </w:rPr>
        <w:t>formalisation de l’économie informelle, ainsi que des mécanismes innovants (taxes</w:t>
      </w:r>
      <w:r w:rsidR="00DB789D">
        <w:rPr>
          <w:color w:val="006A66"/>
          <w:kern w:val="0"/>
          <w:sz w:val="28"/>
          <w:lang w:val="fr-FR"/>
          <w14:ligatures w14:val="none"/>
        </w:rPr>
        <w:t xml:space="preserve"> ou </w:t>
      </w:r>
      <w:r w:rsidRPr="00862559">
        <w:rPr>
          <w:color w:val="006A66"/>
          <w:kern w:val="0"/>
          <w:sz w:val="28"/>
          <w:lang w:val="fr-FR"/>
          <w14:ligatures w14:val="none"/>
        </w:rPr>
        <w:t xml:space="preserve">prélèvements de solidarité ou sectoriels, mandats </w:t>
      </w:r>
      <w:r w:rsidR="000F6108">
        <w:rPr>
          <w:color w:val="006A66"/>
          <w:kern w:val="0"/>
          <w:sz w:val="28"/>
          <w:lang w:val="fr-FR"/>
          <w14:ligatures w14:val="none"/>
        </w:rPr>
        <w:t>de responsabilité sociale des entreprises (</w:t>
      </w:r>
      <w:r w:rsidRPr="00862559">
        <w:rPr>
          <w:color w:val="006A66"/>
          <w:kern w:val="0"/>
          <w:sz w:val="28"/>
          <w:lang w:val="fr-FR"/>
          <w14:ligatures w14:val="none"/>
        </w:rPr>
        <w:t>RSE</w:t>
      </w:r>
      <w:r w:rsidR="000F6108">
        <w:rPr>
          <w:color w:val="006A66"/>
          <w:kern w:val="0"/>
          <w:sz w:val="28"/>
          <w:lang w:val="fr-FR"/>
          <w14:ligatures w14:val="none"/>
        </w:rPr>
        <w:t>)</w:t>
      </w:r>
      <w:r w:rsidRPr="00862559">
        <w:rPr>
          <w:color w:val="006A66"/>
          <w:kern w:val="0"/>
          <w:sz w:val="28"/>
          <w:lang w:val="fr-FR"/>
          <w14:ligatures w14:val="none"/>
        </w:rPr>
        <w:t>, fonds locaux).</w:t>
      </w:r>
    </w:p>
    <w:p w14:paraId="7BE67D0E" w14:textId="758146F4" w:rsidR="0087284D" w:rsidRPr="00862559" w:rsidRDefault="0087284D" w:rsidP="0087284D">
      <w:pPr>
        <w:pStyle w:val="ListParagraph"/>
        <w:numPr>
          <w:ilvl w:val="0"/>
          <w:numId w:val="9"/>
        </w:numPr>
        <w:spacing w:after="120"/>
        <w:ind w:left="714" w:hanging="357"/>
        <w:contextualSpacing w:val="0"/>
        <w:jc w:val="both"/>
        <w:rPr>
          <w:color w:val="006A66"/>
          <w:kern w:val="0"/>
          <w:sz w:val="28"/>
          <w:lang w:val="fr-FR"/>
          <w14:ligatures w14:val="none"/>
        </w:rPr>
      </w:pPr>
      <w:r w:rsidRPr="00862559">
        <w:rPr>
          <w:color w:val="006A66"/>
          <w:kern w:val="0"/>
          <w:sz w:val="28"/>
          <w:lang w:val="fr-FR"/>
          <w14:ligatures w14:val="none"/>
        </w:rPr>
        <w:t>Examiner le rôle de la finance publique internationale, du commerce et du secteur privé, en particulier la manière dont l’</w:t>
      </w:r>
      <w:r w:rsidR="00624A7C">
        <w:rPr>
          <w:color w:val="006A66"/>
          <w:kern w:val="0"/>
          <w:sz w:val="28"/>
          <w:lang w:val="fr-FR"/>
          <w14:ligatures w14:val="none"/>
        </w:rPr>
        <w:t>aide publique au</w:t>
      </w:r>
      <w:r w:rsidR="00063AAF">
        <w:rPr>
          <w:color w:val="006A66"/>
          <w:kern w:val="0"/>
          <w:sz w:val="28"/>
          <w:lang w:val="fr-FR"/>
          <w14:ligatures w14:val="none"/>
        </w:rPr>
        <w:t xml:space="preserve"> </w:t>
      </w:r>
      <w:r w:rsidR="00624A7C">
        <w:rPr>
          <w:color w:val="006A66"/>
          <w:kern w:val="0"/>
          <w:sz w:val="28"/>
          <w:lang w:val="fr-FR"/>
          <w14:ligatures w14:val="none"/>
        </w:rPr>
        <w:t>développement</w:t>
      </w:r>
      <w:r w:rsidRPr="00862559">
        <w:rPr>
          <w:color w:val="006A66"/>
          <w:kern w:val="0"/>
          <w:sz w:val="28"/>
          <w:lang w:val="fr-FR"/>
          <w14:ligatures w14:val="none"/>
        </w:rPr>
        <w:t xml:space="preserve"> et les </w:t>
      </w:r>
      <w:r w:rsidR="00063AAF">
        <w:rPr>
          <w:color w:val="006A66"/>
          <w:kern w:val="0"/>
          <w:sz w:val="28"/>
          <w:lang w:val="fr-FR"/>
          <w14:ligatures w14:val="none"/>
        </w:rPr>
        <w:t>institutions financières internationales</w:t>
      </w:r>
      <w:r w:rsidRPr="00862559">
        <w:rPr>
          <w:color w:val="006A66"/>
          <w:kern w:val="0"/>
          <w:sz w:val="28"/>
          <w:lang w:val="fr-FR"/>
          <w14:ligatures w14:val="none"/>
        </w:rPr>
        <w:t xml:space="preserve"> peuvent agir comme catalyseurs (appui budgétaire, instruments </w:t>
      </w:r>
      <w:r w:rsidR="00FC3105">
        <w:rPr>
          <w:color w:val="006A66"/>
          <w:kern w:val="0"/>
          <w:sz w:val="28"/>
          <w:lang w:val="fr-FR"/>
          <w14:ligatures w14:val="none"/>
        </w:rPr>
        <w:t>fondés sur les</w:t>
      </w:r>
      <w:r w:rsidR="00FC3105" w:rsidRPr="00862559">
        <w:rPr>
          <w:color w:val="006A66"/>
          <w:kern w:val="0"/>
          <w:sz w:val="28"/>
          <w:lang w:val="fr-FR"/>
          <w14:ligatures w14:val="none"/>
        </w:rPr>
        <w:t xml:space="preserve"> </w:t>
      </w:r>
      <w:r w:rsidRPr="00862559">
        <w:rPr>
          <w:color w:val="006A66"/>
          <w:kern w:val="0"/>
          <w:sz w:val="28"/>
          <w:lang w:val="fr-FR"/>
          <w14:ligatures w14:val="none"/>
        </w:rPr>
        <w:t xml:space="preserve">résultats, projets d’investissement), et comment </w:t>
      </w:r>
      <w:r w:rsidR="00FC3105">
        <w:rPr>
          <w:color w:val="006A66"/>
          <w:kern w:val="0"/>
          <w:sz w:val="28"/>
          <w:lang w:val="fr-FR"/>
          <w14:ligatures w14:val="none"/>
        </w:rPr>
        <w:t xml:space="preserve">les </w:t>
      </w:r>
      <w:r w:rsidRPr="00862559">
        <w:rPr>
          <w:color w:val="006A66"/>
          <w:kern w:val="0"/>
          <w:sz w:val="28"/>
          <w:lang w:val="fr-FR"/>
          <w14:ligatures w14:val="none"/>
        </w:rPr>
        <w:t xml:space="preserve">accords commerciaux, </w:t>
      </w:r>
      <w:r w:rsidR="00FC3105">
        <w:rPr>
          <w:color w:val="006A66"/>
          <w:kern w:val="0"/>
          <w:sz w:val="28"/>
          <w:lang w:val="fr-FR"/>
          <w14:ligatures w14:val="none"/>
        </w:rPr>
        <w:t xml:space="preserve">le </w:t>
      </w:r>
      <w:r w:rsidRPr="00862559">
        <w:rPr>
          <w:color w:val="006A66"/>
          <w:kern w:val="0"/>
          <w:sz w:val="28"/>
          <w:lang w:val="fr-FR"/>
          <w14:ligatures w14:val="none"/>
        </w:rPr>
        <w:t xml:space="preserve">devoir de vigilance, </w:t>
      </w:r>
      <w:r w:rsidR="00FC3105">
        <w:rPr>
          <w:color w:val="006A66"/>
          <w:kern w:val="0"/>
          <w:sz w:val="28"/>
          <w:lang w:val="fr-FR"/>
          <w14:ligatures w14:val="none"/>
        </w:rPr>
        <w:t xml:space="preserve">les </w:t>
      </w:r>
      <w:r w:rsidRPr="00862559">
        <w:rPr>
          <w:color w:val="006A66"/>
          <w:kern w:val="0"/>
          <w:sz w:val="28"/>
          <w:lang w:val="fr-FR"/>
          <w14:ligatures w14:val="none"/>
        </w:rPr>
        <w:t>financements mixtes</w:t>
      </w:r>
      <w:r w:rsidR="008B3F2F">
        <w:rPr>
          <w:color w:val="006A66"/>
          <w:kern w:val="0"/>
          <w:sz w:val="28"/>
          <w:lang w:val="fr-FR"/>
          <w14:ligatures w14:val="none"/>
        </w:rPr>
        <w:t xml:space="preserve">, </w:t>
      </w:r>
      <w:r w:rsidR="00FC3105">
        <w:rPr>
          <w:color w:val="006A66"/>
          <w:kern w:val="0"/>
          <w:sz w:val="28"/>
          <w:lang w:val="fr-FR"/>
          <w14:ligatures w14:val="none"/>
        </w:rPr>
        <w:t xml:space="preserve">les </w:t>
      </w:r>
      <w:r w:rsidRPr="00862559">
        <w:rPr>
          <w:color w:val="006A66"/>
          <w:kern w:val="0"/>
          <w:sz w:val="28"/>
          <w:lang w:val="fr-FR"/>
          <w14:ligatures w14:val="none"/>
        </w:rPr>
        <w:t>investissements d’impact</w:t>
      </w:r>
      <w:r w:rsidR="008B3F2F">
        <w:rPr>
          <w:color w:val="006A66"/>
          <w:kern w:val="0"/>
          <w:sz w:val="28"/>
          <w:lang w:val="fr-FR"/>
          <w14:ligatures w14:val="none"/>
        </w:rPr>
        <w:t>, et les actions des partenaires sociaux et organisations de la société civile</w:t>
      </w:r>
      <w:r w:rsidRPr="00862559">
        <w:rPr>
          <w:color w:val="006A66"/>
          <w:kern w:val="0"/>
          <w:sz w:val="28"/>
          <w:lang w:val="fr-FR"/>
          <w14:ligatures w14:val="none"/>
        </w:rPr>
        <w:t xml:space="preserve"> peuvent compléter les budgets publics</w:t>
      </w:r>
      <w:r w:rsidR="008B3F2F">
        <w:rPr>
          <w:color w:val="006A66"/>
          <w:kern w:val="0"/>
          <w:sz w:val="28"/>
          <w:lang w:val="fr-FR"/>
          <w14:ligatures w14:val="none"/>
        </w:rPr>
        <w:t>.</w:t>
      </w:r>
    </w:p>
    <w:p w14:paraId="545869F0" w14:textId="35C16593" w:rsidR="0087284D" w:rsidRPr="00862559" w:rsidRDefault="0087284D" w:rsidP="0087284D">
      <w:pPr>
        <w:pStyle w:val="ListParagraph"/>
        <w:numPr>
          <w:ilvl w:val="0"/>
          <w:numId w:val="9"/>
        </w:numPr>
        <w:spacing w:after="120"/>
        <w:ind w:left="714" w:hanging="357"/>
        <w:contextualSpacing w:val="0"/>
        <w:jc w:val="both"/>
        <w:rPr>
          <w:color w:val="006A66"/>
          <w:kern w:val="0"/>
          <w:sz w:val="28"/>
          <w:lang w:val="fr-FR"/>
          <w14:ligatures w14:val="none"/>
        </w:rPr>
      </w:pPr>
      <w:r w:rsidRPr="00862559">
        <w:rPr>
          <w:color w:val="006A66"/>
          <w:kern w:val="0"/>
          <w:sz w:val="28"/>
          <w:lang w:val="fr-FR"/>
          <w14:ligatures w14:val="none"/>
        </w:rPr>
        <w:t>Renforcer la traçabilité et la redevabilité, en identifiant des outils de finances publiques (</w:t>
      </w:r>
      <w:r w:rsidR="00B90A80">
        <w:rPr>
          <w:color w:val="006A66"/>
          <w:kern w:val="0"/>
          <w:sz w:val="28"/>
          <w:lang w:val="fr-FR"/>
          <w14:ligatures w14:val="none"/>
        </w:rPr>
        <w:t>cadres de dépenses à moyen terme</w:t>
      </w:r>
      <w:r w:rsidRPr="00862559">
        <w:rPr>
          <w:color w:val="006A66"/>
          <w:kern w:val="0"/>
          <w:sz w:val="28"/>
          <w:lang w:val="fr-FR"/>
          <w14:ligatures w14:val="none"/>
        </w:rPr>
        <w:t xml:space="preserve">, budgétisation par programme, marquage budgétaire) et des indicateurs permettant de suivre les dépenses et les résultats liés </w:t>
      </w:r>
      <w:r w:rsidR="0017016F">
        <w:rPr>
          <w:color w:val="006A66"/>
          <w:kern w:val="0"/>
          <w:sz w:val="28"/>
          <w:lang w:val="fr-FR"/>
          <w14:ligatures w14:val="none"/>
        </w:rPr>
        <w:t>à la prévention et à l’élimination du</w:t>
      </w:r>
      <w:r w:rsidRPr="00862559">
        <w:rPr>
          <w:color w:val="006A66"/>
          <w:kern w:val="0"/>
          <w:sz w:val="28"/>
          <w:lang w:val="fr-FR"/>
          <w14:ligatures w14:val="none"/>
        </w:rPr>
        <w:t xml:space="preserve"> travail des enfants, ainsi que des pistes </w:t>
      </w:r>
      <w:r w:rsidR="008A7372">
        <w:rPr>
          <w:color w:val="006A66"/>
          <w:kern w:val="0"/>
          <w:sz w:val="28"/>
          <w:lang w:val="fr-FR"/>
          <w14:ligatures w14:val="none"/>
        </w:rPr>
        <w:t>pour des</w:t>
      </w:r>
      <w:r w:rsidR="00C66DF1">
        <w:rPr>
          <w:color w:val="006A66"/>
          <w:kern w:val="0"/>
          <w:sz w:val="28"/>
          <w:lang w:val="fr-FR"/>
          <w14:ligatures w14:val="none"/>
        </w:rPr>
        <w:t xml:space="preserve"> indicateurs </w:t>
      </w:r>
      <w:r w:rsidRPr="00862559">
        <w:rPr>
          <w:color w:val="006A66"/>
          <w:kern w:val="0"/>
          <w:sz w:val="28"/>
          <w:lang w:val="fr-FR"/>
          <w14:ligatures w14:val="none"/>
        </w:rPr>
        <w:t xml:space="preserve">partagés entre OIT, </w:t>
      </w:r>
      <w:r w:rsidR="005E3CCC">
        <w:rPr>
          <w:color w:val="006A66"/>
          <w:kern w:val="0"/>
          <w:sz w:val="28"/>
          <w:lang w:val="fr-FR"/>
          <w14:ligatures w14:val="none"/>
        </w:rPr>
        <w:t>les institutions financières internationales</w:t>
      </w:r>
      <w:r w:rsidRPr="00862559">
        <w:rPr>
          <w:color w:val="006A66"/>
          <w:kern w:val="0"/>
          <w:sz w:val="28"/>
          <w:lang w:val="fr-FR"/>
          <w14:ligatures w14:val="none"/>
        </w:rPr>
        <w:t xml:space="preserve">, </w:t>
      </w:r>
      <w:r w:rsidR="00847CDC">
        <w:rPr>
          <w:color w:val="006A66"/>
          <w:kern w:val="0"/>
          <w:sz w:val="28"/>
          <w:lang w:val="fr-FR"/>
          <w14:ligatures w14:val="none"/>
        </w:rPr>
        <w:t>l’Union européenne</w:t>
      </w:r>
      <w:r w:rsidRPr="00862559">
        <w:rPr>
          <w:color w:val="006A66"/>
          <w:kern w:val="0"/>
          <w:sz w:val="28"/>
          <w:lang w:val="fr-FR"/>
          <w14:ligatures w14:val="none"/>
        </w:rPr>
        <w:t xml:space="preserve">, </w:t>
      </w:r>
      <w:r w:rsidR="00847CDC">
        <w:rPr>
          <w:color w:val="006A66"/>
          <w:kern w:val="0"/>
          <w:sz w:val="28"/>
          <w:lang w:val="fr-FR"/>
          <w14:ligatures w14:val="none"/>
        </w:rPr>
        <w:t>le système des Nations Unies</w:t>
      </w:r>
      <w:r w:rsidRPr="00862559">
        <w:rPr>
          <w:color w:val="006A66"/>
          <w:kern w:val="0"/>
          <w:sz w:val="28"/>
          <w:lang w:val="fr-FR"/>
          <w14:ligatures w14:val="none"/>
        </w:rPr>
        <w:t xml:space="preserve">, </w:t>
      </w:r>
      <w:r w:rsidR="00847CDC">
        <w:rPr>
          <w:color w:val="006A66"/>
          <w:kern w:val="0"/>
          <w:sz w:val="28"/>
          <w:lang w:val="fr-FR"/>
          <w14:ligatures w14:val="none"/>
        </w:rPr>
        <w:t xml:space="preserve">les </w:t>
      </w:r>
      <w:r w:rsidRPr="00862559">
        <w:rPr>
          <w:color w:val="006A66"/>
          <w:kern w:val="0"/>
          <w:sz w:val="28"/>
          <w:lang w:val="fr-FR"/>
          <w14:ligatures w14:val="none"/>
        </w:rPr>
        <w:t xml:space="preserve">investisseurs privés et </w:t>
      </w:r>
      <w:r w:rsidR="00847CDC">
        <w:rPr>
          <w:color w:val="006A66"/>
          <w:kern w:val="0"/>
          <w:sz w:val="28"/>
          <w:lang w:val="fr-FR"/>
          <w14:ligatures w14:val="none"/>
        </w:rPr>
        <w:t xml:space="preserve">les </w:t>
      </w:r>
      <w:r w:rsidRPr="00862559">
        <w:rPr>
          <w:color w:val="006A66"/>
          <w:kern w:val="0"/>
          <w:sz w:val="28"/>
          <w:lang w:val="fr-FR"/>
          <w14:ligatures w14:val="none"/>
        </w:rPr>
        <w:t>acteurs sociaux.</w:t>
      </w:r>
    </w:p>
    <w:p w14:paraId="74710985" w14:textId="60FC1C4E" w:rsidR="00CD7B33" w:rsidRPr="00862559" w:rsidRDefault="00CD7B33" w:rsidP="00191DB6">
      <w:pPr>
        <w:tabs>
          <w:tab w:val="left" w:pos="7819"/>
        </w:tabs>
        <w:jc w:val="both"/>
        <w:rPr>
          <w:color w:val="006A66"/>
          <w:sz w:val="22"/>
          <w:szCs w:val="22"/>
          <w:lang w:val="fr-FR"/>
        </w:rPr>
      </w:pPr>
    </w:p>
    <w:sectPr w:rsidR="00CD7B33" w:rsidRPr="00862559" w:rsidSect="00116AE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8FF94" w14:textId="77777777" w:rsidR="00ED5BA1" w:rsidRDefault="00ED5BA1" w:rsidP="003F14C5">
      <w:r>
        <w:separator/>
      </w:r>
    </w:p>
  </w:endnote>
  <w:endnote w:type="continuationSeparator" w:id="0">
    <w:p w14:paraId="2780411B" w14:textId="77777777" w:rsidR="00ED5BA1" w:rsidRDefault="00ED5BA1" w:rsidP="003F1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Nirmala UI"/>
    <w:panose1 w:val="020B0502040504020204"/>
    <w:charset w:val="00"/>
    <w:family w:val="swiss"/>
    <w:pitch w:val="variable"/>
    <w:sig w:usb0="E00082FF" w:usb1="400078FF" w:usb2="08000029"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ra Pro">
    <w:altName w:val="Calibri"/>
    <w:panose1 w:val="00000000000000000000"/>
    <w:charset w:val="00"/>
    <w:family w:val="auto"/>
    <w:notTrueType/>
    <w:pitch w:val="variable"/>
    <w:sig w:usb0="00000287" w:usb1="00000001"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28DC" w14:textId="77777777" w:rsidR="003F14C5" w:rsidRPr="00320E73" w:rsidRDefault="00320E73" w:rsidP="00320E73">
    <w:pPr>
      <w:pStyle w:val="Footer"/>
      <w:jc w:val="right"/>
      <w:rPr>
        <w:caps/>
        <w:color w:val="006A66"/>
      </w:rPr>
    </w:pPr>
    <w:r w:rsidRPr="00320E73">
      <w:rPr>
        <w:noProof/>
        <w:color w:val="006A66"/>
      </w:rPr>
      <mc:AlternateContent>
        <mc:Choice Requires="wps">
          <w:drawing>
            <wp:anchor distT="0" distB="0" distL="114300" distR="114300" simplePos="0" relativeHeight="251658240" behindDoc="0" locked="0" layoutInCell="1" allowOverlap="1" wp14:anchorId="569EB848" wp14:editId="22107F85">
              <wp:simplePos x="0" y="0"/>
              <wp:positionH relativeFrom="column">
                <wp:posOffset>3397822</wp:posOffset>
              </wp:positionH>
              <wp:positionV relativeFrom="paragraph">
                <wp:posOffset>171450</wp:posOffset>
              </wp:positionV>
              <wp:extent cx="2196000" cy="0"/>
              <wp:effectExtent l="0" t="0" r="13970" b="12700"/>
              <wp:wrapNone/>
              <wp:docPr id="6" name="Connecteur droit 6"/>
              <wp:cNvGraphicFramePr/>
              <a:graphic xmlns:a="http://schemas.openxmlformats.org/drawingml/2006/main">
                <a:graphicData uri="http://schemas.microsoft.com/office/word/2010/wordprocessingShape">
                  <wps:wsp>
                    <wps:cNvCnPr/>
                    <wps:spPr>
                      <a:xfrm>
                        <a:off x="0" y="0"/>
                        <a:ext cx="2196000" cy="0"/>
                      </a:xfrm>
                      <a:prstGeom prst="line">
                        <a:avLst/>
                      </a:prstGeom>
                      <a:ln w="3175">
                        <a:solidFill>
                          <a:srgbClr val="006A6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391D14" id="Connecteur droit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67.55pt,13.5pt" to="440.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" strokecolor="#006a66" strokeweight=".25pt">
              <v:stroke joinstyle="miter"/>
            </v:line>
          </w:pict>
        </mc:Fallback>
      </mc:AlternateContent>
    </w:r>
    <w:r w:rsidR="003F14C5" w:rsidRPr="00320E73">
      <w:rPr>
        <w:caps/>
        <w:color w:val="006A66"/>
      </w:rPr>
      <w:fldChar w:fldCharType="begin"/>
    </w:r>
    <w:r w:rsidR="003F14C5" w:rsidRPr="00320E73">
      <w:rPr>
        <w:caps/>
        <w:color w:val="006A66"/>
      </w:rPr>
      <w:instrText>PAGE   \* MERGEFORMAT</w:instrText>
    </w:r>
    <w:r w:rsidR="003F14C5" w:rsidRPr="00320E73">
      <w:rPr>
        <w:caps/>
        <w:color w:val="006A66"/>
      </w:rPr>
      <w:fldChar w:fldCharType="separate"/>
    </w:r>
    <w:r w:rsidR="003F14C5" w:rsidRPr="00320E73">
      <w:rPr>
        <w:caps/>
        <w:color w:val="006A66"/>
      </w:rPr>
      <w:t>2</w:t>
    </w:r>
    <w:r w:rsidR="003F14C5" w:rsidRPr="00320E73">
      <w:rPr>
        <w:caps/>
        <w:color w:val="006A66"/>
      </w:rPr>
      <w:fldChar w:fldCharType="end"/>
    </w:r>
  </w:p>
  <w:p w14:paraId="418A5378" w14:textId="77777777" w:rsidR="003F14C5" w:rsidRDefault="003F1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38D7E" w14:textId="77777777" w:rsidR="00ED5BA1" w:rsidRDefault="00ED5BA1" w:rsidP="003F14C5">
      <w:r>
        <w:separator/>
      </w:r>
    </w:p>
  </w:footnote>
  <w:footnote w:type="continuationSeparator" w:id="0">
    <w:p w14:paraId="21678CEF" w14:textId="77777777" w:rsidR="00ED5BA1" w:rsidRDefault="00ED5BA1" w:rsidP="003F1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B870" w14:textId="77777777" w:rsidR="003F14C5" w:rsidRPr="003B7005" w:rsidRDefault="001C299A" w:rsidP="003B7005">
    <w:pPr>
      <w:pStyle w:val="Header"/>
    </w:pPr>
    <w:r>
      <w:rPr>
        <w:noProof/>
      </w:rPr>
      <w:drawing>
        <wp:anchor distT="0" distB="0" distL="114300" distR="114300" simplePos="0" relativeHeight="251658241" behindDoc="1" locked="0" layoutInCell="1" allowOverlap="1" wp14:anchorId="3EB00374" wp14:editId="018140C7">
          <wp:simplePos x="0" y="0"/>
          <wp:positionH relativeFrom="column">
            <wp:posOffset>-892239</wp:posOffset>
          </wp:positionH>
          <wp:positionV relativeFrom="paragraph">
            <wp:posOffset>-442024</wp:posOffset>
          </wp:positionV>
          <wp:extent cx="7541911" cy="10667747"/>
          <wp:effectExtent l="0" t="0" r="1905" b="63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546073" cy="1067363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2CEE"/>
    <w:multiLevelType w:val="hybridMultilevel"/>
    <w:tmpl w:val="BDA029AC"/>
    <w:lvl w:ilvl="0" w:tplc="5880B324">
      <w:start w:val="1"/>
      <w:numFmt w:val="upperRoman"/>
      <w:pStyle w:val="Heading2"/>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B47F34"/>
    <w:multiLevelType w:val="hybridMultilevel"/>
    <w:tmpl w:val="84E6112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9F062D7"/>
    <w:multiLevelType w:val="multilevel"/>
    <w:tmpl w:val="D2D4A18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A6F578E"/>
    <w:multiLevelType w:val="multilevel"/>
    <w:tmpl w:val="36DCED5C"/>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1DE33720"/>
    <w:multiLevelType w:val="multilevel"/>
    <w:tmpl w:val="2D323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D92890"/>
    <w:multiLevelType w:val="hybridMultilevel"/>
    <w:tmpl w:val="F15E4C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355057"/>
    <w:multiLevelType w:val="hybridMultilevel"/>
    <w:tmpl w:val="B308ABEC"/>
    <w:lvl w:ilvl="0" w:tplc="BB7CF7F0">
      <w:numFmt w:val="bullet"/>
      <w:lvlText w:val="•"/>
      <w:lvlJc w:val="left"/>
      <w:pPr>
        <w:ind w:left="720" w:hanging="360"/>
      </w:pPr>
      <w:rPr>
        <w:rFonts w:ascii="Noto Sans" w:eastAsiaTheme="minorHAnsi" w:hAnsi="Noto Sans" w:cs="Noto Sans" w:hint="default"/>
        <w:sz w:val="24"/>
        <w:szCs w:val="2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DC8121B"/>
    <w:multiLevelType w:val="hybridMultilevel"/>
    <w:tmpl w:val="B33816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C27DF0"/>
    <w:multiLevelType w:val="multilevel"/>
    <w:tmpl w:val="737E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FA2E1F"/>
    <w:multiLevelType w:val="multilevel"/>
    <w:tmpl w:val="4EB6047A"/>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45046328"/>
    <w:multiLevelType w:val="multilevel"/>
    <w:tmpl w:val="F2E87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66022F"/>
    <w:multiLevelType w:val="hybridMultilevel"/>
    <w:tmpl w:val="D8D2909E"/>
    <w:lvl w:ilvl="0" w:tplc="2FFC56E8">
      <w:start w:val="1"/>
      <w:numFmt w:val="bullet"/>
      <w:pStyle w:val="Heading4"/>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D894A7A"/>
    <w:multiLevelType w:val="multilevel"/>
    <w:tmpl w:val="CB86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035C3E"/>
    <w:multiLevelType w:val="multilevel"/>
    <w:tmpl w:val="B0EE2F54"/>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5D717306"/>
    <w:multiLevelType w:val="multilevel"/>
    <w:tmpl w:val="EBB03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BF7BAA"/>
    <w:multiLevelType w:val="multilevel"/>
    <w:tmpl w:val="FD484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B307F9"/>
    <w:multiLevelType w:val="hybridMultilevel"/>
    <w:tmpl w:val="E0B4F1FA"/>
    <w:lvl w:ilvl="0" w:tplc="87AEB636">
      <w:start w:val="1"/>
      <w:numFmt w:val="decimal"/>
      <w:pStyle w:val="Heading3"/>
      <w:lvlText w:val="%1."/>
      <w:lvlJc w:val="left"/>
      <w:pPr>
        <w:ind w:left="717"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5F512AB"/>
    <w:multiLevelType w:val="hybridMultilevel"/>
    <w:tmpl w:val="D1A8BD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098015919">
    <w:abstractNumId w:val="7"/>
  </w:num>
  <w:num w:numId="2" w16cid:durableId="1906603929">
    <w:abstractNumId w:val="5"/>
  </w:num>
  <w:num w:numId="3" w16cid:durableId="1595361890">
    <w:abstractNumId w:val="0"/>
  </w:num>
  <w:num w:numId="4" w16cid:durableId="951396683">
    <w:abstractNumId w:val="16"/>
  </w:num>
  <w:num w:numId="5" w16cid:durableId="1596747021">
    <w:abstractNumId w:val="10"/>
  </w:num>
  <w:num w:numId="6" w16cid:durableId="1927575323">
    <w:abstractNumId w:val="11"/>
  </w:num>
  <w:num w:numId="7" w16cid:durableId="189488970">
    <w:abstractNumId w:val="0"/>
  </w:num>
  <w:num w:numId="8" w16cid:durableId="1480540944">
    <w:abstractNumId w:val="0"/>
  </w:num>
  <w:num w:numId="9" w16cid:durableId="1482962890">
    <w:abstractNumId w:val="1"/>
  </w:num>
  <w:num w:numId="10" w16cid:durableId="729809691">
    <w:abstractNumId w:val="15"/>
  </w:num>
  <w:num w:numId="11" w16cid:durableId="1598975530">
    <w:abstractNumId w:val="12"/>
  </w:num>
  <w:num w:numId="12" w16cid:durableId="2079089255">
    <w:abstractNumId w:val="14"/>
  </w:num>
  <w:num w:numId="13" w16cid:durableId="669069285">
    <w:abstractNumId w:val="4"/>
  </w:num>
  <w:num w:numId="14" w16cid:durableId="895353634">
    <w:abstractNumId w:val="3"/>
  </w:num>
  <w:num w:numId="15" w16cid:durableId="818306163">
    <w:abstractNumId w:val="9"/>
  </w:num>
  <w:num w:numId="16" w16cid:durableId="1548835290">
    <w:abstractNumId w:val="13"/>
  </w:num>
  <w:num w:numId="17" w16cid:durableId="960767434">
    <w:abstractNumId w:val="2"/>
  </w:num>
  <w:num w:numId="18" w16cid:durableId="461457572">
    <w:abstractNumId w:val="8"/>
  </w:num>
  <w:num w:numId="19" w16cid:durableId="1650986541">
    <w:abstractNumId w:val="17"/>
  </w:num>
  <w:num w:numId="20" w16cid:durableId="18613084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6D2"/>
    <w:rsid w:val="00031D75"/>
    <w:rsid w:val="00042D5C"/>
    <w:rsid w:val="000469B8"/>
    <w:rsid w:val="00063AAF"/>
    <w:rsid w:val="00085BBC"/>
    <w:rsid w:val="000A175B"/>
    <w:rsid w:val="000A2F1B"/>
    <w:rsid w:val="000F0B0C"/>
    <w:rsid w:val="000F6108"/>
    <w:rsid w:val="00106E49"/>
    <w:rsid w:val="00112680"/>
    <w:rsid w:val="001149B5"/>
    <w:rsid w:val="00116AE3"/>
    <w:rsid w:val="00132E45"/>
    <w:rsid w:val="0017016F"/>
    <w:rsid w:val="00172DB3"/>
    <w:rsid w:val="00191DB6"/>
    <w:rsid w:val="00193155"/>
    <w:rsid w:val="001A0BCF"/>
    <w:rsid w:val="001A3B5D"/>
    <w:rsid w:val="001B08F6"/>
    <w:rsid w:val="001B6560"/>
    <w:rsid w:val="001C299A"/>
    <w:rsid w:val="001D3E4C"/>
    <w:rsid w:val="001D5771"/>
    <w:rsid w:val="001E2CAC"/>
    <w:rsid w:val="001F1229"/>
    <w:rsid w:val="001F2F48"/>
    <w:rsid w:val="00200E40"/>
    <w:rsid w:val="0020569D"/>
    <w:rsid w:val="0025264C"/>
    <w:rsid w:val="00255D01"/>
    <w:rsid w:val="00262457"/>
    <w:rsid w:val="002750FC"/>
    <w:rsid w:val="00281447"/>
    <w:rsid w:val="00292D94"/>
    <w:rsid w:val="002E036B"/>
    <w:rsid w:val="00302818"/>
    <w:rsid w:val="00320E73"/>
    <w:rsid w:val="00322A3C"/>
    <w:rsid w:val="00336335"/>
    <w:rsid w:val="00361FC7"/>
    <w:rsid w:val="003735C1"/>
    <w:rsid w:val="00375D5B"/>
    <w:rsid w:val="003B7005"/>
    <w:rsid w:val="003F14C5"/>
    <w:rsid w:val="00400DED"/>
    <w:rsid w:val="00405681"/>
    <w:rsid w:val="0042535A"/>
    <w:rsid w:val="004411B4"/>
    <w:rsid w:val="00451E32"/>
    <w:rsid w:val="00455A82"/>
    <w:rsid w:val="004615B4"/>
    <w:rsid w:val="004B2205"/>
    <w:rsid w:val="004F1D4D"/>
    <w:rsid w:val="004F6974"/>
    <w:rsid w:val="00511C71"/>
    <w:rsid w:val="00517C95"/>
    <w:rsid w:val="00522456"/>
    <w:rsid w:val="00522DEF"/>
    <w:rsid w:val="00576F95"/>
    <w:rsid w:val="00582E77"/>
    <w:rsid w:val="005C1968"/>
    <w:rsid w:val="005D11BE"/>
    <w:rsid w:val="005E3CCC"/>
    <w:rsid w:val="005E3E28"/>
    <w:rsid w:val="00611390"/>
    <w:rsid w:val="0062248D"/>
    <w:rsid w:val="00624A7C"/>
    <w:rsid w:val="00626D4C"/>
    <w:rsid w:val="00632B80"/>
    <w:rsid w:val="0063633D"/>
    <w:rsid w:val="00664F76"/>
    <w:rsid w:val="00685DC4"/>
    <w:rsid w:val="00693325"/>
    <w:rsid w:val="006D2439"/>
    <w:rsid w:val="006D5C65"/>
    <w:rsid w:val="00711690"/>
    <w:rsid w:val="00715E49"/>
    <w:rsid w:val="007177AB"/>
    <w:rsid w:val="00722946"/>
    <w:rsid w:val="00731442"/>
    <w:rsid w:val="007904BA"/>
    <w:rsid w:val="00790D66"/>
    <w:rsid w:val="00792239"/>
    <w:rsid w:val="007B2EC3"/>
    <w:rsid w:val="007C781A"/>
    <w:rsid w:val="007E0A57"/>
    <w:rsid w:val="007E2E1D"/>
    <w:rsid w:val="008448E4"/>
    <w:rsid w:val="00847CDC"/>
    <w:rsid w:val="00855F95"/>
    <w:rsid w:val="00862559"/>
    <w:rsid w:val="00864BE5"/>
    <w:rsid w:val="00866A5D"/>
    <w:rsid w:val="0087284D"/>
    <w:rsid w:val="008755CB"/>
    <w:rsid w:val="008769C3"/>
    <w:rsid w:val="008A7372"/>
    <w:rsid w:val="008B3F2F"/>
    <w:rsid w:val="008D33CB"/>
    <w:rsid w:val="008E1CC1"/>
    <w:rsid w:val="008E5B10"/>
    <w:rsid w:val="00912129"/>
    <w:rsid w:val="009146E7"/>
    <w:rsid w:val="00933E9C"/>
    <w:rsid w:val="00936D06"/>
    <w:rsid w:val="009469CC"/>
    <w:rsid w:val="009569C9"/>
    <w:rsid w:val="009577ED"/>
    <w:rsid w:val="00965D50"/>
    <w:rsid w:val="0097031F"/>
    <w:rsid w:val="00971381"/>
    <w:rsid w:val="00977CAB"/>
    <w:rsid w:val="00980323"/>
    <w:rsid w:val="009C1809"/>
    <w:rsid w:val="00A01EA0"/>
    <w:rsid w:val="00A060DA"/>
    <w:rsid w:val="00A12E18"/>
    <w:rsid w:val="00A22159"/>
    <w:rsid w:val="00A233A1"/>
    <w:rsid w:val="00A35C6A"/>
    <w:rsid w:val="00A36C83"/>
    <w:rsid w:val="00A4134F"/>
    <w:rsid w:val="00A4173F"/>
    <w:rsid w:val="00A559CF"/>
    <w:rsid w:val="00A85EC2"/>
    <w:rsid w:val="00AA0AF8"/>
    <w:rsid w:val="00AA173F"/>
    <w:rsid w:val="00AC2D40"/>
    <w:rsid w:val="00AE0240"/>
    <w:rsid w:val="00AE7FDC"/>
    <w:rsid w:val="00AF30A6"/>
    <w:rsid w:val="00AF4B15"/>
    <w:rsid w:val="00B13886"/>
    <w:rsid w:val="00B27E4F"/>
    <w:rsid w:val="00B63C5F"/>
    <w:rsid w:val="00B90A80"/>
    <w:rsid w:val="00B91DB1"/>
    <w:rsid w:val="00B94175"/>
    <w:rsid w:val="00BA1338"/>
    <w:rsid w:val="00BC25C9"/>
    <w:rsid w:val="00C16825"/>
    <w:rsid w:val="00C20A4F"/>
    <w:rsid w:val="00C22BCD"/>
    <w:rsid w:val="00C324FF"/>
    <w:rsid w:val="00C50263"/>
    <w:rsid w:val="00C56F89"/>
    <w:rsid w:val="00C6556C"/>
    <w:rsid w:val="00C66DF1"/>
    <w:rsid w:val="00C733E3"/>
    <w:rsid w:val="00C8273C"/>
    <w:rsid w:val="00CB34DA"/>
    <w:rsid w:val="00CB6031"/>
    <w:rsid w:val="00CD7B33"/>
    <w:rsid w:val="00CE0E98"/>
    <w:rsid w:val="00CF1A1A"/>
    <w:rsid w:val="00D014C4"/>
    <w:rsid w:val="00D05C38"/>
    <w:rsid w:val="00D067AE"/>
    <w:rsid w:val="00D10C6A"/>
    <w:rsid w:val="00D4101F"/>
    <w:rsid w:val="00D53BBE"/>
    <w:rsid w:val="00D55185"/>
    <w:rsid w:val="00D578E9"/>
    <w:rsid w:val="00D61274"/>
    <w:rsid w:val="00D63586"/>
    <w:rsid w:val="00D7698A"/>
    <w:rsid w:val="00D910C4"/>
    <w:rsid w:val="00D940E2"/>
    <w:rsid w:val="00DA21FC"/>
    <w:rsid w:val="00DB789D"/>
    <w:rsid w:val="00DC2327"/>
    <w:rsid w:val="00DF4D69"/>
    <w:rsid w:val="00E04749"/>
    <w:rsid w:val="00E16D2A"/>
    <w:rsid w:val="00E17B7A"/>
    <w:rsid w:val="00E204BF"/>
    <w:rsid w:val="00E43536"/>
    <w:rsid w:val="00E5231B"/>
    <w:rsid w:val="00E73DFE"/>
    <w:rsid w:val="00E91D5C"/>
    <w:rsid w:val="00EC13BB"/>
    <w:rsid w:val="00EC21C7"/>
    <w:rsid w:val="00EC6A2F"/>
    <w:rsid w:val="00EC6AF9"/>
    <w:rsid w:val="00ED5BA1"/>
    <w:rsid w:val="00F2319D"/>
    <w:rsid w:val="00F3594E"/>
    <w:rsid w:val="00F436D2"/>
    <w:rsid w:val="00F97DF9"/>
    <w:rsid w:val="00FA58AB"/>
    <w:rsid w:val="00FC14A5"/>
    <w:rsid w:val="00FC3105"/>
    <w:rsid w:val="00FE6B4D"/>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37C32"/>
  <w15:chartTrackingRefBased/>
  <w15:docId w15:val="{6A6E6B81-517E-4AF6-9478-77886FC7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M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E49"/>
    <w:pPr>
      <w:spacing w:before="120" w:after="120"/>
      <w:jc w:val="lowKashida"/>
    </w:pPr>
  </w:style>
  <w:style w:type="paragraph" w:styleId="Heading1">
    <w:name w:val="heading 1"/>
    <w:basedOn w:val="Normal"/>
    <w:link w:val="Heading1Char"/>
    <w:uiPriority w:val="9"/>
    <w:qFormat/>
    <w:rsid w:val="00715E49"/>
    <w:pPr>
      <w:spacing w:before="240" w:after="240"/>
      <w:jc w:val="left"/>
      <w:outlineLvl w:val="0"/>
    </w:pPr>
    <w:rPr>
      <w:rFonts w:ascii="Cera Pro" w:eastAsia="Times New Roman" w:hAnsi="Cera Pro" w:cs="Times New Roman"/>
      <w:b/>
      <w:bCs/>
      <w:color w:val="006A66"/>
      <w:kern w:val="36"/>
      <w:sz w:val="50"/>
      <w:szCs w:val="48"/>
      <w:lang w:eastAsia="fr-FR"/>
    </w:rPr>
  </w:style>
  <w:style w:type="paragraph" w:styleId="Heading2">
    <w:name w:val="heading 2"/>
    <w:basedOn w:val="Normal"/>
    <w:next w:val="Normal"/>
    <w:link w:val="Heading2Char"/>
    <w:uiPriority w:val="9"/>
    <w:unhideWhenUsed/>
    <w:qFormat/>
    <w:rsid w:val="00715E49"/>
    <w:pPr>
      <w:keepNext/>
      <w:keepLines/>
      <w:numPr>
        <w:numId w:val="3"/>
      </w:numPr>
      <w:spacing w:before="360"/>
      <w:jc w:val="left"/>
      <w:outlineLvl w:val="1"/>
    </w:pPr>
    <w:rPr>
      <w:rFonts w:eastAsiaTheme="majorEastAsia" w:cstheme="majorBidi"/>
      <w:b/>
      <w:color w:val="006A66"/>
      <w:sz w:val="30"/>
      <w:szCs w:val="26"/>
    </w:rPr>
  </w:style>
  <w:style w:type="paragraph" w:styleId="Heading3">
    <w:name w:val="heading 3"/>
    <w:basedOn w:val="Normal"/>
    <w:next w:val="Normal"/>
    <w:link w:val="Heading3Char"/>
    <w:uiPriority w:val="9"/>
    <w:unhideWhenUsed/>
    <w:qFormat/>
    <w:rsid w:val="00715E49"/>
    <w:pPr>
      <w:keepNext/>
      <w:keepLines/>
      <w:numPr>
        <w:numId w:val="4"/>
      </w:numPr>
      <w:spacing w:before="360"/>
      <w:ind w:left="714" w:hanging="357"/>
      <w:jc w:val="left"/>
      <w:outlineLvl w:val="2"/>
    </w:pPr>
    <w:rPr>
      <w:rFonts w:ascii="Calibri" w:eastAsiaTheme="majorEastAsia" w:hAnsi="Calibri" w:cstheme="majorBidi"/>
      <w:b/>
      <w:color w:val="E5702A"/>
      <w:sz w:val="26"/>
    </w:rPr>
  </w:style>
  <w:style w:type="paragraph" w:styleId="Heading4">
    <w:name w:val="heading 4"/>
    <w:basedOn w:val="Normal"/>
    <w:next w:val="Normal"/>
    <w:link w:val="Heading4Char"/>
    <w:uiPriority w:val="9"/>
    <w:unhideWhenUsed/>
    <w:qFormat/>
    <w:rsid w:val="00E16D2A"/>
    <w:pPr>
      <w:keepNext/>
      <w:keepLines/>
      <w:numPr>
        <w:numId w:val="6"/>
      </w:numPr>
      <w:spacing w:before="240"/>
      <w:ind w:left="641" w:hanging="357"/>
      <w:outlineLvl w:val="3"/>
    </w:pPr>
    <w:rPr>
      <w:rFonts w:eastAsiaTheme="majorEastAsia" w:cstheme="majorBidi"/>
      <w:i/>
      <w:iCs/>
      <w:color w:val="E5702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E49"/>
    <w:rPr>
      <w:rFonts w:ascii="Cera Pro" w:eastAsia="Times New Roman" w:hAnsi="Cera Pro" w:cs="Times New Roman"/>
      <w:b/>
      <w:bCs/>
      <w:color w:val="006A66"/>
      <w:kern w:val="36"/>
      <w:sz w:val="50"/>
      <w:szCs w:val="48"/>
      <w:lang w:eastAsia="fr-FR"/>
    </w:rPr>
  </w:style>
  <w:style w:type="character" w:customStyle="1" w:styleId="Heading3Char">
    <w:name w:val="Heading 3 Char"/>
    <w:basedOn w:val="DefaultParagraphFont"/>
    <w:link w:val="Heading3"/>
    <w:uiPriority w:val="9"/>
    <w:rsid w:val="00715E49"/>
    <w:rPr>
      <w:rFonts w:ascii="Calibri" w:eastAsiaTheme="majorEastAsia" w:hAnsi="Calibri" w:cstheme="majorBidi"/>
      <w:b/>
      <w:color w:val="E5702A"/>
      <w:sz w:val="26"/>
    </w:rPr>
  </w:style>
  <w:style w:type="paragraph" w:styleId="NormalWeb">
    <w:name w:val="Normal (Web)"/>
    <w:basedOn w:val="Normal"/>
    <w:uiPriority w:val="99"/>
    <w:unhideWhenUsed/>
    <w:rsid w:val="00F436D2"/>
    <w:pPr>
      <w:spacing w:before="100" w:beforeAutospacing="1" w:after="100" w:afterAutospacing="1"/>
    </w:pPr>
    <w:rPr>
      <w:rFonts w:ascii="Times New Roman" w:eastAsia="Times New Roman" w:hAnsi="Times New Roman" w:cs="Times New Roman"/>
      <w:lang w:eastAsia="fr-FR"/>
    </w:rPr>
  </w:style>
  <w:style w:type="character" w:styleId="Hyperlink">
    <w:name w:val="Hyperlink"/>
    <w:basedOn w:val="DefaultParagraphFont"/>
    <w:uiPriority w:val="99"/>
    <w:semiHidden/>
    <w:unhideWhenUsed/>
    <w:rsid w:val="00F436D2"/>
    <w:rPr>
      <w:color w:val="0000FF"/>
      <w:u w:val="single"/>
    </w:rPr>
  </w:style>
  <w:style w:type="character" w:styleId="Emphasis">
    <w:name w:val="Emphasis"/>
    <w:basedOn w:val="DefaultParagraphFont"/>
    <w:uiPriority w:val="20"/>
    <w:qFormat/>
    <w:rsid w:val="00F436D2"/>
    <w:rPr>
      <w:i/>
      <w:iCs/>
    </w:rPr>
  </w:style>
  <w:style w:type="character" w:styleId="Strong">
    <w:name w:val="Strong"/>
    <w:basedOn w:val="DefaultParagraphFont"/>
    <w:uiPriority w:val="22"/>
    <w:qFormat/>
    <w:rsid w:val="00DF4D69"/>
    <w:rPr>
      <w:b/>
      <w:bCs/>
    </w:rPr>
  </w:style>
  <w:style w:type="character" w:styleId="FollowedHyperlink">
    <w:name w:val="FollowedHyperlink"/>
    <w:basedOn w:val="DefaultParagraphFont"/>
    <w:uiPriority w:val="99"/>
    <w:semiHidden/>
    <w:unhideWhenUsed/>
    <w:rsid w:val="00DF4D69"/>
    <w:rPr>
      <w:color w:val="954F72" w:themeColor="followedHyperlink"/>
      <w:u w:val="single"/>
    </w:rPr>
  </w:style>
  <w:style w:type="paragraph" w:styleId="Header">
    <w:name w:val="header"/>
    <w:basedOn w:val="Normal"/>
    <w:link w:val="HeaderChar"/>
    <w:uiPriority w:val="99"/>
    <w:unhideWhenUsed/>
    <w:rsid w:val="003F14C5"/>
    <w:pPr>
      <w:tabs>
        <w:tab w:val="center" w:pos="4536"/>
        <w:tab w:val="right" w:pos="9072"/>
      </w:tabs>
    </w:pPr>
  </w:style>
  <w:style w:type="character" w:customStyle="1" w:styleId="HeaderChar">
    <w:name w:val="Header Char"/>
    <w:basedOn w:val="DefaultParagraphFont"/>
    <w:link w:val="Header"/>
    <w:uiPriority w:val="99"/>
    <w:rsid w:val="003F14C5"/>
  </w:style>
  <w:style w:type="paragraph" w:styleId="Footer">
    <w:name w:val="footer"/>
    <w:basedOn w:val="Normal"/>
    <w:link w:val="FooterChar"/>
    <w:uiPriority w:val="99"/>
    <w:unhideWhenUsed/>
    <w:rsid w:val="003F14C5"/>
    <w:pPr>
      <w:tabs>
        <w:tab w:val="center" w:pos="4536"/>
        <w:tab w:val="right" w:pos="9072"/>
      </w:tabs>
    </w:pPr>
  </w:style>
  <w:style w:type="character" w:customStyle="1" w:styleId="FooterChar">
    <w:name w:val="Footer Char"/>
    <w:basedOn w:val="DefaultParagraphFont"/>
    <w:link w:val="Footer"/>
    <w:uiPriority w:val="99"/>
    <w:rsid w:val="003F14C5"/>
  </w:style>
  <w:style w:type="character" w:customStyle="1" w:styleId="Heading2Char">
    <w:name w:val="Heading 2 Char"/>
    <w:basedOn w:val="DefaultParagraphFont"/>
    <w:link w:val="Heading2"/>
    <w:uiPriority w:val="9"/>
    <w:rsid w:val="00715E49"/>
    <w:rPr>
      <w:rFonts w:eastAsiaTheme="majorEastAsia" w:cstheme="majorBidi"/>
      <w:b/>
      <w:color w:val="006A66"/>
      <w:sz w:val="30"/>
      <w:szCs w:val="26"/>
    </w:rPr>
  </w:style>
  <w:style w:type="character" w:customStyle="1" w:styleId="Heading4Char">
    <w:name w:val="Heading 4 Char"/>
    <w:basedOn w:val="DefaultParagraphFont"/>
    <w:link w:val="Heading4"/>
    <w:uiPriority w:val="9"/>
    <w:rsid w:val="00E16D2A"/>
    <w:rPr>
      <w:rFonts w:eastAsiaTheme="majorEastAsia" w:cstheme="majorBidi"/>
      <w:i/>
      <w:iCs/>
      <w:color w:val="E5702A"/>
    </w:rPr>
  </w:style>
  <w:style w:type="paragraph" w:styleId="NoSpacing">
    <w:name w:val="No Spacing"/>
    <w:uiPriority w:val="1"/>
    <w:qFormat/>
    <w:rsid w:val="00715E49"/>
    <w:pPr>
      <w:spacing w:before="120" w:after="120"/>
    </w:pPr>
    <w:rPr>
      <w:color w:val="006A66"/>
      <w:sz w:val="28"/>
    </w:rPr>
  </w:style>
  <w:style w:type="paragraph" w:styleId="ListParagraph">
    <w:name w:val="List Paragraph"/>
    <w:basedOn w:val="Normal"/>
    <w:uiPriority w:val="34"/>
    <w:qFormat/>
    <w:rsid w:val="0087284D"/>
    <w:pPr>
      <w:spacing w:before="0" w:after="160" w:line="278" w:lineRule="auto"/>
      <w:ind w:left="720"/>
      <w:contextualSpacing/>
      <w:jc w:val="left"/>
    </w:pPr>
    <w:rPr>
      <w:kern w:val="2"/>
      <w:lang w:val="en-US"/>
      <w14:ligatures w14:val="standardContextual"/>
    </w:rPr>
  </w:style>
  <w:style w:type="paragraph" w:styleId="Revision">
    <w:name w:val="Revision"/>
    <w:hidden/>
    <w:uiPriority w:val="99"/>
    <w:semiHidden/>
    <w:rsid w:val="005C1968"/>
  </w:style>
  <w:style w:type="character" w:styleId="CommentReference">
    <w:name w:val="annotation reference"/>
    <w:basedOn w:val="DefaultParagraphFont"/>
    <w:uiPriority w:val="99"/>
    <w:semiHidden/>
    <w:unhideWhenUsed/>
    <w:rsid w:val="009577ED"/>
    <w:rPr>
      <w:sz w:val="16"/>
      <w:szCs w:val="16"/>
    </w:rPr>
  </w:style>
  <w:style w:type="paragraph" w:styleId="CommentText">
    <w:name w:val="annotation text"/>
    <w:basedOn w:val="Normal"/>
    <w:link w:val="CommentTextChar"/>
    <w:uiPriority w:val="99"/>
    <w:unhideWhenUsed/>
    <w:rsid w:val="009577ED"/>
    <w:rPr>
      <w:sz w:val="20"/>
      <w:szCs w:val="20"/>
    </w:rPr>
  </w:style>
  <w:style w:type="character" w:customStyle="1" w:styleId="CommentTextChar">
    <w:name w:val="Comment Text Char"/>
    <w:basedOn w:val="DefaultParagraphFont"/>
    <w:link w:val="CommentText"/>
    <w:uiPriority w:val="99"/>
    <w:rsid w:val="009577ED"/>
    <w:rPr>
      <w:sz w:val="20"/>
      <w:szCs w:val="20"/>
    </w:rPr>
  </w:style>
  <w:style w:type="paragraph" w:styleId="CommentSubject">
    <w:name w:val="annotation subject"/>
    <w:basedOn w:val="CommentText"/>
    <w:next w:val="CommentText"/>
    <w:link w:val="CommentSubjectChar"/>
    <w:uiPriority w:val="99"/>
    <w:semiHidden/>
    <w:unhideWhenUsed/>
    <w:rsid w:val="009577ED"/>
    <w:rPr>
      <w:b/>
      <w:bCs/>
    </w:rPr>
  </w:style>
  <w:style w:type="character" w:customStyle="1" w:styleId="CommentSubjectChar">
    <w:name w:val="Comment Subject Char"/>
    <w:basedOn w:val="CommentTextChar"/>
    <w:link w:val="CommentSubject"/>
    <w:uiPriority w:val="99"/>
    <w:semiHidden/>
    <w:rsid w:val="009577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391390">
      <w:bodyDiv w:val="1"/>
      <w:marLeft w:val="0"/>
      <w:marRight w:val="0"/>
      <w:marTop w:val="0"/>
      <w:marBottom w:val="0"/>
      <w:divBdr>
        <w:top w:val="none" w:sz="0" w:space="0" w:color="auto"/>
        <w:left w:val="none" w:sz="0" w:space="0" w:color="auto"/>
        <w:bottom w:val="none" w:sz="0" w:space="0" w:color="auto"/>
        <w:right w:val="none" w:sz="0" w:space="0" w:color="auto"/>
      </w:divBdr>
    </w:div>
    <w:div w:id="595869059">
      <w:bodyDiv w:val="1"/>
      <w:marLeft w:val="0"/>
      <w:marRight w:val="0"/>
      <w:marTop w:val="0"/>
      <w:marBottom w:val="0"/>
      <w:divBdr>
        <w:top w:val="none" w:sz="0" w:space="0" w:color="auto"/>
        <w:left w:val="none" w:sz="0" w:space="0" w:color="auto"/>
        <w:bottom w:val="none" w:sz="0" w:space="0" w:color="auto"/>
        <w:right w:val="none" w:sz="0" w:space="0" w:color="auto"/>
      </w:divBdr>
    </w:div>
    <w:div w:id="722559124">
      <w:bodyDiv w:val="1"/>
      <w:marLeft w:val="0"/>
      <w:marRight w:val="0"/>
      <w:marTop w:val="0"/>
      <w:marBottom w:val="0"/>
      <w:divBdr>
        <w:top w:val="none" w:sz="0" w:space="0" w:color="auto"/>
        <w:left w:val="none" w:sz="0" w:space="0" w:color="auto"/>
        <w:bottom w:val="none" w:sz="0" w:space="0" w:color="auto"/>
        <w:right w:val="none" w:sz="0" w:space="0" w:color="auto"/>
      </w:divBdr>
    </w:div>
    <w:div w:id="1082528110">
      <w:bodyDiv w:val="1"/>
      <w:marLeft w:val="0"/>
      <w:marRight w:val="0"/>
      <w:marTop w:val="0"/>
      <w:marBottom w:val="0"/>
      <w:divBdr>
        <w:top w:val="none" w:sz="0" w:space="0" w:color="auto"/>
        <w:left w:val="none" w:sz="0" w:space="0" w:color="auto"/>
        <w:bottom w:val="none" w:sz="0" w:space="0" w:color="auto"/>
        <w:right w:val="none" w:sz="0" w:space="0" w:color="auto"/>
      </w:divBdr>
    </w:div>
    <w:div w:id="1124545262">
      <w:bodyDiv w:val="1"/>
      <w:marLeft w:val="0"/>
      <w:marRight w:val="0"/>
      <w:marTop w:val="0"/>
      <w:marBottom w:val="0"/>
      <w:divBdr>
        <w:top w:val="none" w:sz="0" w:space="0" w:color="auto"/>
        <w:left w:val="none" w:sz="0" w:space="0" w:color="auto"/>
        <w:bottom w:val="none" w:sz="0" w:space="0" w:color="auto"/>
        <w:right w:val="none" w:sz="0" w:space="0" w:color="auto"/>
      </w:divBdr>
    </w:div>
    <w:div w:id="1126243833">
      <w:bodyDiv w:val="1"/>
      <w:marLeft w:val="0"/>
      <w:marRight w:val="0"/>
      <w:marTop w:val="0"/>
      <w:marBottom w:val="0"/>
      <w:divBdr>
        <w:top w:val="none" w:sz="0" w:space="0" w:color="auto"/>
        <w:left w:val="none" w:sz="0" w:space="0" w:color="auto"/>
        <w:bottom w:val="none" w:sz="0" w:space="0" w:color="auto"/>
        <w:right w:val="none" w:sz="0" w:space="0" w:color="auto"/>
      </w:divBdr>
    </w:div>
    <w:div w:id="1716663112">
      <w:bodyDiv w:val="1"/>
      <w:marLeft w:val="0"/>
      <w:marRight w:val="0"/>
      <w:marTop w:val="0"/>
      <w:marBottom w:val="0"/>
      <w:divBdr>
        <w:top w:val="none" w:sz="0" w:space="0" w:color="auto"/>
        <w:left w:val="none" w:sz="0" w:space="0" w:color="auto"/>
        <w:bottom w:val="none" w:sz="0" w:space="0" w:color="auto"/>
        <w:right w:val="none" w:sz="0" w:space="0" w:color="auto"/>
      </w:divBdr>
    </w:div>
    <w:div w:id="190463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DB556-1EF4-834B-A7F1-AFD6780EE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837</Words>
  <Characters>5107</Characters>
  <Application>Microsoft Office Word</Application>
  <DocSecurity>0</DocSecurity>
  <Lines>96</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 Hollander, Jo Monda</cp:lastModifiedBy>
  <cp:revision>3</cp:revision>
  <cp:lastPrinted>2025-12-13T04:16:00Z</cp:lastPrinted>
  <dcterms:created xsi:type="dcterms:W3CDTF">2026-02-05T12:03:00Z</dcterms:created>
  <dcterms:modified xsi:type="dcterms:W3CDTF">2026-02-07T07:08:00Z</dcterms:modified>
</cp:coreProperties>
</file>