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E00B" w14:textId="36DACA9C" w:rsidR="00116AE3" w:rsidRDefault="008F558A" w:rsidP="00116AE3">
      <w:pPr>
        <w:pStyle w:val="Heading1"/>
        <w:spacing w:before="0" w:after="0"/>
        <w:jc w:val="center"/>
        <w:rPr>
          <w:rFonts w:ascii="Calibri" w:hAnsi="Calibri"/>
          <w:b w:val="0"/>
          <w:bCs w:val="0"/>
          <w:sz w:val="28"/>
          <w:szCs w:val="28"/>
          <w:lang w:val="es-ES"/>
        </w:rPr>
      </w:pPr>
      <w:r w:rsidRPr="008F558A">
        <w:rPr>
          <w:rFonts w:ascii="Calibri" w:hAnsi="Calibri"/>
          <w:b w:val="0"/>
          <w:bCs w:val="0"/>
          <w:sz w:val="28"/>
          <w:szCs w:val="28"/>
          <w:lang w:val="es-ES"/>
        </w:rPr>
        <w:t>Nota conceptual para una sesión temática sobre</w:t>
      </w:r>
    </w:p>
    <w:p w14:paraId="259C8D1A" w14:textId="77777777" w:rsidR="008F558A" w:rsidRPr="008F558A" w:rsidRDefault="008F558A" w:rsidP="00116AE3">
      <w:pPr>
        <w:pStyle w:val="Heading1"/>
        <w:spacing w:before="0" w:after="0"/>
        <w:jc w:val="center"/>
        <w:rPr>
          <w:sz w:val="36"/>
          <w:szCs w:val="36"/>
          <w:lang w:val="es-ES"/>
        </w:rPr>
      </w:pPr>
    </w:p>
    <w:p w14:paraId="16F347BC" w14:textId="77777777" w:rsidR="002101A1" w:rsidRDefault="002101A1" w:rsidP="00116AE3">
      <w:pPr>
        <w:pStyle w:val="Heading1"/>
        <w:spacing w:after="0"/>
        <w:jc w:val="center"/>
        <w:rPr>
          <w:color w:val="ED7D31" w:themeColor="accent2"/>
          <w:sz w:val="40"/>
          <w:szCs w:val="40"/>
          <w:lang w:val="es-ES"/>
        </w:rPr>
      </w:pPr>
      <w:r w:rsidRPr="002101A1">
        <w:rPr>
          <w:color w:val="ED7D31" w:themeColor="accent2"/>
          <w:sz w:val="40"/>
          <w:szCs w:val="40"/>
          <w:lang w:val="es-ES"/>
        </w:rPr>
        <w:t>Soluciones de financiamiento sostenible para la eliminación del trabajo infantil: hacia estrategias nacionales coherentes y sostenibles</w:t>
      </w:r>
    </w:p>
    <w:p w14:paraId="2E2FCF4D" w14:textId="571DFE56" w:rsidR="002101A1" w:rsidRPr="002101A1" w:rsidRDefault="002101A1" w:rsidP="002101A1">
      <w:pPr>
        <w:pStyle w:val="Heading1"/>
        <w:spacing w:after="0"/>
        <w:jc w:val="center"/>
        <w:rPr>
          <w:rFonts w:ascii="Calibri" w:hAnsi="Calibri"/>
          <w:b w:val="0"/>
          <w:bCs w:val="0"/>
          <w:sz w:val="28"/>
          <w:szCs w:val="28"/>
          <w:lang w:val="es-ES"/>
        </w:rPr>
      </w:pPr>
      <w:r w:rsidRPr="002101A1">
        <w:rPr>
          <w:rFonts w:ascii="Calibri" w:hAnsi="Calibri"/>
          <w:b w:val="0"/>
          <w:bCs w:val="0"/>
          <w:sz w:val="28"/>
          <w:szCs w:val="28"/>
          <w:lang w:val="es-ES"/>
        </w:rPr>
        <w:t>6.ª Conferencia Mundial sobre la Eliminación del Trabajo Infantil</w:t>
      </w:r>
      <w:r w:rsidR="00F433F3">
        <w:rPr>
          <w:rFonts w:ascii="Calibri" w:hAnsi="Calibri"/>
          <w:b w:val="0"/>
          <w:bCs w:val="0"/>
          <w:sz w:val="28"/>
          <w:szCs w:val="28"/>
          <w:lang w:val="es-ES"/>
        </w:rPr>
        <w:t>,</w:t>
      </w:r>
    </w:p>
    <w:p w14:paraId="09032BCB" w14:textId="2A3F4611" w:rsidR="00116AE3" w:rsidRPr="00F433F3" w:rsidRDefault="002101A1" w:rsidP="002101A1">
      <w:pPr>
        <w:pStyle w:val="Heading1"/>
        <w:spacing w:before="0" w:after="0"/>
        <w:jc w:val="center"/>
        <w:rPr>
          <w:rFonts w:ascii="Calibri" w:hAnsi="Calibri"/>
          <w:b w:val="0"/>
          <w:bCs w:val="0"/>
          <w:sz w:val="28"/>
          <w:szCs w:val="28"/>
          <w:lang w:val="es-ES"/>
        </w:rPr>
      </w:pPr>
      <w:r w:rsidRPr="00F433F3">
        <w:rPr>
          <w:rFonts w:ascii="Calibri" w:hAnsi="Calibri"/>
          <w:b w:val="0"/>
          <w:bCs w:val="0"/>
          <w:sz w:val="28"/>
          <w:szCs w:val="28"/>
          <w:lang w:val="es-ES"/>
        </w:rPr>
        <w:t>Marrakech</w:t>
      </w:r>
      <w:r w:rsidR="00F433F3">
        <w:rPr>
          <w:rFonts w:ascii="Calibri" w:hAnsi="Calibri"/>
          <w:b w:val="0"/>
          <w:bCs w:val="0"/>
          <w:sz w:val="28"/>
          <w:szCs w:val="28"/>
          <w:lang w:val="es-ES"/>
        </w:rPr>
        <w:t>,</w:t>
      </w:r>
      <w:r w:rsidRPr="00F433F3">
        <w:rPr>
          <w:rFonts w:ascii="Calibri" w:hAnsi="Calibri"/>
          <w:b w:val="0"/>
          <w:bCs w:val="0"/>
          <w:sz w:val="28"/>
          <w:szCs w:val="28"/>
          <w:lang w:val="es-ES"/>
        </w:rPr>
        <w:t xml:space="preserve"> Marruecos</w:t>
      </w:r>
    </w:p>
    <w:p w14:paraId="59B3BF92" w14:textId="0A0848C7" w:rsidR="00116AE3" w:rsidRPr="002101A1" w:rsidRDefault="002101A1" w:rsidP="00116AE3">
      <w:pPr>
        <w:pStyle w:val="Heading1"/>
        <w:spacing w:after="0"/>
        <w:jc w:val="center"/>
        <w:rPr>
          <w:rFonts w:ascii="Calibri" w:hAnsi="Calibri"/>
          <w:b w:val="0"/>
          <w:bCs w:val="0"/>
          <w:sz w:val="28"/>
          <w:szCs w:val="28"/>
          <w:lang w:val="es-ES"/>
        </w:rPr>
      </w:pPr>
      <w:r w:rsidRPr="002101A1">
        <w:rPr>
          <w:rFonts w:ascii="Calibri" w:hAnsi="Calibri"/>
          <w:b w:val="0"/>
          <w:bCs w:val="0"/>
          <w:sz w:val="28"/>
          <w:szCs w:val="28"/>
          <w:lang w:val="es-ES"/>
        </w:rPr>
        <w:t>Jueves</w:t>
      </w:r>
      <w:r w:rsidR="00116AE3" w:rsidRPr="002101A1">
        <w:rPr>
          <w:rFonts w:ascii="Calibri" w:hAnsi="Calibri"/>
          <w:b w:val="0"/>
          <w:bCs w:val="0"/>
          <w:sz w:val="28"/>
          <w:szCs w:val="28"/>
          <w:lang w:val="es-ES"/>
        </w:rPr>
        <w:t xml:space="preserve"> 12 </w:t>
      </w:r>
      <w:r w:rsidRPr="002101A1">
        <w:rPr>
          <w:rFonts w:ascii="Calibri" w:hAnsi="Calibri"/>
          <w:b w:val="0"/>
          <w:bCs w:val="0"/>
          <w:sz w:val="28"/>
          <w:szCs w:val="28"/>
          <w:lang w:val="es-ES"/>
        </w:rPr>
        <w:t>de febrero</w:t>
      </w:r>
      <w:r w:rsidR="00116AE3" w:rsidRPr="002101A1">
        <w:rPr>
          <w:rFonts w:ascii="Calibri" w:hAnsi="Calibri"/>
          <w:b w:val="0"/>
          <w:bCs w:val="0"/>
          <w:sz w:val="28"/>
          <w:szCs w:val="28"/>
          <w:lang w:val="es-ES"/>
        </w:rPr>
        <w:t xml:space="preserve"> 2026 – </w:t>
      </w:r>
      <w:r w:rsidR="00F72A78">
        <w:rPr>
          <w:rFonts w:ascii="Calibri" w:hAnsi="Calibri"/>
          <w:b w:val="0"/>
          <w:bCs w:val="0"/>
          <w:sz w:val="28"/>
          <w:szCs w:val="28"/>
          <w:lang w:val="es-ES"/>
        </w:rPr>
        <w:t>9</w:t>
      </w:r>
      <w:r>
        <w:rPr>
          <w:rFonts w:ascii="Calibri" w:hAnsi="Calibri"/>
          <w:b w:val="0"/>
          <w:bCs w:val="0"/>
          <w:sz w:val="28"/>
          <w:szCs w:val="28"/>
          <w:lang w:val="es-ES"/>
        </w:rPr>
        <w:t>:</w:t>
      </w:r>
      <w:r w:rsidR="00F72A78">
        <w:rPr>
          <w:rFonts w:ascii="Calibri" w:hAnsi="Calibri"/>
          <w:b w:val="0"/>
          <w:bCs w:val="0"/>
          <w:sz w:val="28"/>
          <w:szCs w:val="28"/>
          <w:lang w:val="es-ES"/>
        </w:rPr>
        <w:t>15</w:t>
      </w:r>
      <w:r w:rsidR="00F433F3">
        <w:rPr>
          <w:rFonts w:ascii="Calibri" w:hAnsi="Calibri"/>
          <w:b w:val="0"/>
          <w:bCs w:val="0"/>
          <w:sz w:val="28"/>
          <w:szCs w:val="28"/>
          <w:lang w:val="es-ES"/>
        </w:rPr>
        <w:t xml:space="preserve"> </w:t>
      </w:r>
      <w:r w:rsidR="00F72A78">
        <w:rPr>
          <w:rFonts w:ascii="Calibri" w:hAnsi="Calibri"/>
          <w:b w:val="0"/>
          <w:bCs w:val="0"/>
          <w:sz w:val="28"/>
          <w:szCs w:val="28"/>
          <w:lang w:val="es-ES"/>
        </w:rPr>
        <w:t>a</w:t>
      </w:r>
      <w:r w:rsidR="00F433F3">
        <w:rPr>
          <w:rFonts w:ascii="Calibri" w:hAnsi="Calibri"/>
          <w:b w:val="0"/>
          <w:bCs w:val="0"/>
          <w:sz w:val="28"/>
          <w:szCs w:val="28"/>
          <w:lang w:val="es-ES"/>
        </w:rPr>
        <w:t>m</w:t>
      </w:r>
      <w:r w:rsidR="00116AE3" w:rsidRPr="002101A1">
        <w:rPr>
          <w:rFonts w:ascii="Calibri" w:hAnsi="Calibri"/>
          <w:b w:val="0"/>
          <w:bCs w:val="0"/>
          <w:sz w:val="28"/>
          <w:szCs w:val="28"/>
          <w:lang w:val="es-ES"/>
        </w:rPr>
        <w:t xml:space="preserve"> </w:t>
      </w:r>
      <w:r>
        <w:rPr>
          <w:rFonts w:ascii="Calibri" w:hAnsi="Calibri"/>
          <w:b w:val="0"/>
          <w:bCs w:val="0"/>
          <w:sz w:val="28"/>
          <w:szCs w:val="28"/>
          <w:lang w:val="es-ES"/>
        </w:rPr>
        <w:t>a</w:t>
      </w:r>
      <w:r w:rsidR="00116AE3" w:rsidRPr="002101A1">
        <w:rPr>
          <w:rFonts w:ascii="Calibri" w:hAnsi="Calibri"/>
          <w:b w:val="0"/>
          <w:bCs w:val="0"/>
          <w:sz w:val="28"/>
          <w:szCs w:val="28"/>
          <w:lang w:val="es-ES"/>
        </w:rPr>
        <w:t xml:space="preserve"> </w:t>
      </w:r>
      <w:r w:rsidR="00F72A78">
        <w:rPr>
          <w:rFonts w:ascii="Calibri" w:hAnsi="Calibri"/>
          <w:b w:val="0"/>
          <w:bCs w:val="0"/>
          <w:sz w:val="28"/>
          <w:szCs w:val="28"/>
          <w:lang w:val="es-ES"/>
        </w:rPr>
        <w:t>11</w:t>
      </w:r>
      <w:r>
        <w:rPr>
          <w:rFonts w:ascii="Calibri" w:hAnsi="Calibri"/>
          <w:b w:val="0"/>
          <w:bCs w:val="0"/>
          <w:sz w:val="28"/>
          <w:szCs w:val="28"/>
          <w:lang w:val="es-ES"/>
        </w:rPr>
        <w:t>:</w:t>
      </w:r>
      <w:r w:rsidR="00F72A78">
        <w:rPr>
          <w:rFonts w:ascii="Calibri" w:hAnsi="Calibri"/>
          <w:b w:val="0"/>
          <w:bCs w:val="0"/>
          <w:sz w:val="28"/>
          <w:szCs w:val="28"/>
          <w:lang w:val="es-ES"/>
        </w:rPr>
        <w:t>00</w:t>
      </w:r>
      <w:r w:rsidR="00F433F3">
        <w:rPr>
          <w:rFonts w:ascii="Calibri" w:hAnsi="Calibri"/>
          <w:b w:val="0"/>
          <w:bCs w:val="0"/>
          <w:sz w:val="28"/>
          <w:szCs w:val="28"/>
          <w:lang w:val="es-ES"/>
        </w:rPr>
        <w:t xml:space="preserve"> </w:t>
      </w:r>
      <w:r w:rsidR="00F72A78">
        <w:rPr>
          <w:rFonts w:ascii="Calibri" w:hAnsi="Calibri"/>
          <w:b w:val="0"/>
          <w:bCs w:val="0"/>
          <w:sz w:val="28"/>
          <w:szCs w:val="28"/>
          <w:lang w:val="es-ES"/>
        </w:rPr>
        <w:t>a</w:t>
      </w:r>
      <w:r w:rsidR="00F433F3">
        <w:rPr>
          <w:rFonts w:ascii="Calibri" w:hAnsi="Calibri"/>
          <w:b w:val="0"/>
          <w:bCs w:val="0"/>
          <w:sz w:val="28"/>
          <w:szCs w:val="28"/>
          <w:lang w:val="es-ES"/>
        </w:rPr>
        <w:t>m</w:t>
      </w:r>
    </w:p>
    <w:p w14:paraId="4846B0D2" w14:textId="77777777" w:rsidR="00116AE3" w:rsidRPr="002101A1" w:rsidRDefault="00116AE3" w:rsidP="00116AE3">
      <w:pPr>
        <w:rPr>
          <w:lang w:val="es-ES"/>
        </w:rPr>
      </w:pPr>
    </w:p>
    <w:p w14:paraId="50B8EA2A" w14:textId="77777777" w:rsidR="00116AE3" w:rsidRPr="002101A1" w:rsidRDefault="00116AE3" w:rsidP="00116AE3">
      <w:pPr>
        <w:rPr>
          <w:lang w:val="es-ES"/>
        </w:rPr>
      </w:pPr>
    </w:p>
    <w:p w14:paraId="25EC9584" w14:textId="452E0BA3" w:rsidR="00116AE3" w:rsidRPr="00862559" w:rsidRDefault="00116AE3" w:rsidP="00116AE3">
      <w:pPr>
        <w:pStyle w:val="Heading2"/>
        <w:ind w:left="567" w:hanging="425"/>
        <w:rPr>
          <w:color w:val="ED7D31" w:themeColor="accent2"/>
          <w:sz w:val="36"/>
          <w:szCs w:val="32"/>
          <w:lang w:val="fr-FR"/>
        </w:rPr>
      </w:pPr>
      <w:r w:rsidRPr="00862559">
        <w:rPr>
          <w:color w:val="ED7D31" w:themeColor="accent2"/>
          <w:sz w:val="36"/>
          <w:szCs w:val="32"/>
          <w:lang w:val="fr-FR"/>
        </w:rPr>
        <w:t>Context</w:t>
      </w:r>
      <w:r w:rsidR="002101A1">
        <w:rPr>
          <w:color w:val="ED7D31" w:themeColor="accent2"/>
          <w:sz w:val="36"/>
          <w:szCs w:val="32"/>
          <w:lang w:val="fr-FR"/>
        </w:rPr>
        <w:t>o</w:t>
      </w:r>
      <w:r w:rsidRPr="00862559">
        <w:rPr>
          <w:color w:val="ED7D31" w:themeColor="accent2"/>
          <w:sz w:val="36"/>
          <w:szCs w:val="32"/>
          <w:lang w:val="fr-FR"/>
        </w:rPr>
        <w:t xml:space="preserve"> </w:t>
      </w:r>
    </w:p>
    <w:p w14:paraId="3091FCD0" w14:textId="0A9E4B86" w:rsidR="00BC4895" w:rsidRPr="00BC4895" w:rsidRDefault="00BC4895" w:rsidP="00CD1BE9">
      <w:pPr>
        <w:pStyle w:val="NoSpacing"/>
        <w:jc w:val="both"/>
        <w:rPr>
          <w:lang w:val="es-ES"/>
        </w:rPr>
      </w:pPr>
      <w:r w:rsidRPr="00BC4895">
        <w:rPr>
          <w:lang w:val="es-ES"/>
        </w:rPr>
        <w:t xml:space="preserve">La 6.ª Conferencia Mundial sobre la Eliminación del Trabajo Infantil en Marrakech se celebra en un momento en el que resulta evidente que el mundo no va por buen camino para alcanzar la meta 8.7 de los ODS en materia de trabajo infantil. Muchos países han adoptado o actualizado planes de acción nacionales sobre trabajo infantil (PAN) o estrategias equivalentes, con un reconocimiento creciente de que abordar las causas estructurales del trabajo infantil exige intervenir en sistemas más amplios e interconectados, como la protección social, las finanzas públicas orientadas a la </w:t>
      </w:r>
      <w:r w:rsidRPr="00F433F3">
        <w:rPr>
          <w:lang w:val="es-ES"/>
        </w:rPr>
        <w:t xml:space="preserve">infancia, la educación y las competencias, los mercados laborales, los medios de vida rurales, así como las políticas comerciales y la gobernanza de las cadenas </w:t>
      </w:r>
      <w:r w:rsidR="00F433F3" w:rsidRPr="00F433F3">
        <w:rPr>
          <w:lang w:val="es-ES"/>
        </w:rPr>
        <w:t>suministro</w:t>
      </w:r>
      <w:r w:rsidRPr="00F433F3">
        <w:rPr>
          <w:lang w:val="es-ES"/>
        </w:rPr>
        <w:t>.</w:t>
      </w:r>
    </w:p>
    <w:p w14:paraId="704970AC" w14:textId="77777777" w:rsidR="00BC4895" w:rsidRPr="00BC4895" w:rsidRDefault="00BC4895" w:rsidP="00CD1BE9">
      <w:pPr>
        <w:pStyle w:val="NoSpacing"/>
        <w:jc w:val="both"/>
        <w:rPr>
          <w:lang w:val="es-ES"/>
        </w:rPr>
      </w:pPr>
      <w:r w:rsidRPr="00BC4895">
        <w:rPr>
          <w:lang w:val="es-ES"/>
        </w:rPr>
        <w:t>El trabajo de la OIT muestra que la inversión en la prevención y eliminación del trabajo infantil, a través de la protección social, la educación, el trabajo decente y medidas de remediación cuando los niños y las niñas están en situación de trabajo infantil, genera beneficios sociales y económicos muy superiores a los costos. Un análisis costo–beneficio mundial estimó que los beneficios económicos de eliminar el trabajo infantil podrían ser casi siete veces mayores que los costos financieros, mientras que análisis recientes sobre el déficit de financiamiento de la protección social confirman que estas inversiones constituyen un pilar de crecimiento inclusivo y sostenible, y no un simple gasto.</w:t>
      </w:r>
    </w:p>
    <w:p w14:paraId="2BC90660" w14:textId="43769E06" w:rsidR="00BC4895" w:rsidRPr="00BC4895" w:rsidRDefault="00BC4895" w:rsidP="00CD1BE9">
      <w:pPr>
        <w:pStyle w:val="NoSpacing"/>
        <w:jc w:val="both"/>
        <w:rPr>
          <w:lang w:val="es-ES"/>
        </w:rPr>
      </w:pPr>
      <w:r w:rsidRPr="00BC4895">
        <w:rPr>
          <w:lang w:val="es-ES"/>
        </w:rPr>
        <w:t xml:space="preserve">Sin embargo, el financiamiento sigue estando por debajo de los compromisos políticos. En muchos países, los PAN y las estrategias conexas </w:t>
      </w:r>
      <w:r w:rsidR="00CD1BE9">
        <w:rPr>
          <w:lang w:val="es-ES"/>
        </w:rPr>
        <w:t xml:space="preserve">no </w:t>
      </w:r>
      <w:r w:rsidRPr="00BC4895">
        <w:rPr>
          <w:lang w:val="es-ES"/>
        </w:rPr>
        <w:t xml:space="preserve">están financiados </w:t>
      </w:r>
      <w:r w:rsidR="00CD1BE9">
        <w:rPr>
          <w:lang w:val="es-ES"/>
        </w:rPr>
        <w:t xml:space="preserve">o </w:t>
      </w:r>
      <w:r w:rsidRPr="00BC4895">
        <w:rPr>
          <w:lang w:val="es-ES"/>
        </w:rPr>
        <w:t xml:space="preserve">solo </w:t>
      </w:r>
      <w:r w:rsidR="00CD1BE9" w:rsidRPr="00BC4895">
        <w:rPr>
          <w:lang w:val="es-ES"/>
        </w:rPr>
        <w:t xml:space="preserve">están financiados </w:t>
      </w:r>
      <w:r w:rsidRPr="00BC4895">
        <w:rPr>
          <w:lang w:val="es-ES"/>
        </w:rPr>
        <w:t xml:space="preserve">parcialmente; los sistemas clave (protección </w:t>
      </w:r>
      <w:r w:rsidRPr="00BC4895">
        <w:rPr>
          <w:lang w:val="es-ES"/>
        </w:rPr>
        <w:lastRenderedPageBreak/>
        <w:t xml:space="preserve">social, educación, inspección del trabajo, protección </w:t>
      </w:r>
      <w:r w:rsidRPr="00C35CA9">
        <w:rPr>
          <w:lang w:val="es-ES"/>
        </w:rPr>
        <w:t xml:space="preserve">de la niñez) </w:t>
      </w:r>
      <w:r w:rsidR="00F433F3" w:rsidRPr="00C35CA9">
        <w:rPr>
          <w:lang w:val="es-ES"/>
        </w:rPr>
        <w:t xml:space="preserve">siguen estando </w:t>
      </w:r>
      <w:r w:rsidRPr="00C35CA9">
        <w:rPr>
          <w:lang w:val="es-ES"/>
        </w:rPr>
        <w:t>subfinanciados y vulnerables a restricciones presupuestarias</w:t>
      </w:r>
      <w:r w:rsidR="001646AC" w:rsidRPr="00C35CA9">
        <w:rPr>
          <w:lang w:val="es-ES"/>
        </w:rPr>
        <w:t xml:space="preserve"> y no cubren, o cubren de manera insuficiente, a quienes trabajan en la economía informal</w:t>
      </w:r>
      <w:r w:rsidRPr="00C35CA9">
        <w:rPr>
          <w:lang w:val="es-ES"/>
        </w:rPr>
        <w:t>; y las medidas relevantes para la eliminación del trabajo infantil a menudo quedan diluidas dentro de presupuestos generales, sin asignaciones</w:t>
      </w:r>
      <w:r w:rsidRPr="00BC4895">
        <w:rPr>
          <w:lang w:val="es-ES"/>
        </w:rPr>
        <w:t xml:space="preserve"> ni indicadores rastreables. Persiste, por tanto, una brecha evidente entre el diseño de las políticas y un financiamiento efectivo y sostenido en el tiempo.</w:t>
      </w:r>
    </w:p>
    <w:p w14:paraId="3FFA0587" w14:textId="06211F9E" w:rsidR="00BC4895" w:rsidRPr="00BC4895" w:rsidRDefault="00BC4895" w:rsidP="00CD1BE9">
      <w:pPr>
        <w:pStyle w:val="NoSpacing"/>
        <w:jc w:val="both"/>
        <w:rPr>
          <w:lang w:val="es-ES"/>
        </w:rPr>
      </w:pPr>
      <w:r w:rsidRPr="00BC4895">
        <w:rPr>
          <w:lang w:val="es-ES"/>
        </w:rPr>
        <w:t xml:space="preserve">El Llamado a la Acción de Durban ya puso énfasis en la movilización de recursos nacionales, el financiamiento adecuado de los PAN, la integración del trabajo infantil en las políticas de desarrollo, la coherencia entre políticas sociales y económicas, la sostenibilidad de la deuda y el papel de las instituciones financieras internacionales. Por su parte, los debates recientes </w:t>
      </w:r>
      <w:r w:rsidR="00CD1BE9" w:rsidRPr="00CD1BE9">
        <w:rPr>
          <w:lang w:val="es-ES"/>
        </w:rPr>
        <w:t>en la 4.ª Conferencia Internacional sobre la Financiación para el Desarrollo (FfD4) en Sevilla subrayaron</w:t>
      </w:r>
      <w:r w:rsidRPr="00BC4895">
        <w:rPr>
          <w:lang w:val="es-ES"/>
        </w:rPr>
        <w:t xml:space="preserve"> la importancia de la movilización de recursos internos, sistemas fiscales equitativos, la gestión y el alivio de la deuda, así como el financiamiento mixto público-privado.</w:t>
      </w:r>
    </w:p>
    <w:p w14:paraId="793A7541" w14:textId="1FA10B3A" w:rsidR="00BC4895" w:rsidRPr="00BC4895" w:rsidRDefault="00BC4895" w:rsidP="00CD1BE9">
      <w:pPr>
        <w:pStyle w:val="NoSpacing"/>
        <w:jc w:val="both"/>
        <w:rPr>
          <w:lang w:val="es-ES"/>
        </w:rPr>
      </w:pPr>
      <w:r w:rsidRPr="00BC4895">
        <w:rPr>
          <w:lang w:val="es-ES"/>
        </w:rPr>
        <w:t xml:space="preserve">En este contexto, la sesión propondrá examinar de manera concreta cómo avanzar hacia estrategias nacionales </w:t>
      </w:r>
      <w:r w:rsidR="00F433F3" w:rsidRPr="00BC4895">
        <w:rPr>
          <w:lang w:val="es-ES"/>
        </w:rPr>
        <w:t xml:space="preserve">para la prevención y eliminación del trabajo infantil </w:t>
      </w:r>
      <w:r w:rsidR="00F433F3">
        <w:rPr>
          <w:lang w:val="es-ES"/>
        </w:rPr>
        <w:t xml:space="preserve">que sean </w:t>
      </w:r>
      <w:r w:rsidRPr="00BC4895">
        <w:rPr>
          <w:lang w:val="es-ES"/>
        </w:rPr>
        <w:t>coherentes y financiadas</w:t>
      </w:r>
      <w:r w:rsidR="00F433F3">
        <w:rPr>
          <w:lang w:val="es-ES"/>
        </w:rPr>
        <w:t xml:space="preserve"> de manera sostenible;</w:t>
      </w:r>
      <w:r w:rsidRPr="00BC4895">
        <w:rPr>
          <w:lang w:val="es-ES"/>
        </w:rPr>
        <w:t xml:space="preserve"> basadas principalmente en los presupuestos nacionales y complementadas por financiamiento público internacional, así como por inversiones privadas y filantrópicas responsables.</w:t>
      </w:r>
    </w:p>
    <w:p w14:paraId="0DF5EA5B" w14:textId="77777777" w:rsidR="00116AE3" w:rsidRPr="00A07679" w:rsidRDefault="00116AE3" w:rsidP="00CD1BE9">
      <w:pPr>
        <w:jc w:val="both"/>
        <w:rPr>
          <w:lang w:val="es-ES"/>
        </w:rPr>
      </w:pPr>
    </w:p>
    <w:p w14:paraId="2E2C52D7" w14:textId="5A8DDA02" w:rsidR="00116AE3" w:rsidRPr="00862559" w:rsidRDefault="00F433F3" w:rsidP="00CD1BE9">
      <w:pPr>
        <w:pStyle w:val="Heading2"/>
        <w:spacing w:before="120"/>
        <w:ind w:left="567" w:hanging="283"/>
        <w:rPr>
          <w:color w:val="ED7D31" w:themeColor="accent2"/>
          <w:sz w:val="36"/>
          <w:szCs w:val="32"/>
          <w:lang w:val="fr-FR"/>
        </w:rPr>
      </w:pPr>
      <w:r>
        <w:rPr>
          <w:color w:val="ED7D31" w:themeColor="accent2"/>
          <w:sz w:val="36"/>
          <w:szCs w:val="32"/>
          <w:lang w:val="fr-FR"/>
        </w:rPr>
        <w:t>Temas a tratar</w:t>
      </w:r>
    </w:p>
    <w:p w14:paraId="5C96D1A3" w14:textId="2664619A" w:rsidR="0087284D" w:rsidRPr="00643766" w:rsidRDefault="00643766" w:rsidP="00CD1BE9">
      <w:pPr>
        <w:jc w:val="both"/>
        <w:rPr>
          <w:color w:val="006A66"/>
          <w:sz w:val="28"/>
          <w:lang w:val="es-ES"/>
        </w:rPr>
      </w:pPr>
      <w:r w:rsidRPr="00643766">
        <w:rPr>
          <w:color w:val="006A66"/>
          <w:sz w:val="28"/>
          <w:lang w:val="es-ES"/>
        </w:rPr>
        <w:t>La sesión tiene como objetivo</w:t>
      </w:r>
      <w:r w:rsidR="0087284D" w:rsidRPr="00643766">
        <w:rPr>
          <w:color w:val="006A66"/>
          <w:sz w:val="28"/>
          <w:lang w:val="es-ES"/>
        </w:rPr>
        <w:t>:</w:t>
      </w:r>
    </w:p>
    <w:p w14:paraId="7B2F6E67" w14:textId="77777777" w:rsidR="00643766" w:rsidRPr="00643766" w:rsidRDefault="00643766" w:rsidP="00CD1BE9">
      <w:pPr>
        <w:pStyle w:val="ListParagraph"/>
        <w:numPr>
          <w:ilvl w:val="0"/>
          <w:numId w:val="9"/>
        </w:numPr>
        <w:spacing w:before="120" w:after="120" w:line="240" w:lineRule="auto"/>
        <w:contextualSpacing w:val="0"/>
        <w:jc w:val="both"/>
        <w:rPr>
          <w:color w:val="006A66"/>
          <w:kern w:val="0"/>
          <w:sz w:val="28"/>
          <w:lang w:val="es-ES"/>
          <w14:ligatures w14:val="none"/>
        </w:rPr>
      </w:pPr>
      <w:r w:rsidRPr="00643766">
        <w:rPr>
          <w:color w:val="006A66"/>
          <w:kern w:val="0"/>
          <w:sz w:val="28"/>
          <w:lang w:val="es-ES"/>
          <w14:ligatures w14:val="none"/>
        </w:rPr>
        <w:t>Aclarar las necesidades y brechas de financiamiento para prevenir y eliminar el trabajo infantil, en particular en materia de protección social (incluidas las prestaciones familiares), educación básica inclusiva y de calidad, inspección del trabajo y seguimiento del trabajo infantil, protección de la niñez, así como trabajo decente y medios de vida de las personas adultas en sectores de riesgo.</w:t>
      </w:r>
    </w:p>
    <w:p w14:paraId="7C91490E" w14:textId="77777777" w:rsidR="00643766" w:rsidRPr="00643766" w:rsidRDefault="00643766" w:rsidP="00CD1BE9">
      <w:pPr>
        <w:pStyle w:val="ListParagraph"/>
        <w:numPr>
          <w:ilvl w:val="0"/>
          <w:numId w:val="9"/>
        </w:numPr>
        <w:spacing w:before="120" w:after="120" w:line="240" w:lineRule="auto"/>
        <w:contextualSpacing w:val="0"/>
        <w:jc w:val="both"/>
        <w:rPr>
          <w:color w:val="006A66"/>
          <w:kern w:val="0"/>
          <w:sz w:val="28"/>
          <w:lang w:val="es-ES"/>
          <w14:ligatures w14:val="none"/>
        </w:rPr>
      </w:pPr>
      <w:r w:rsidRPr="00643766">
        <w:rPr>
          <w:color w:val="006A66"/>
          <w:kern w:val="0"/>
          <w:sz w:val="28"/>
          <w:lang w:val="es-ES"/>
          <w14:ligatures w14:val="none"/>
        </w:rPr>
        <w:t xml:space="preserve">Poner de relieve las intervenciones y sistemas más costo-efectivos, a partir del análisis costo–beneficio mundial de 2004, nuevos trabajos de la OIT sobre costos y análisis costo–beneficio, y análisis de brechas de financiamiento de la protección social, con el fin de comprender mejor los </w:t>
      </w:r>
      <w:r w:rsidRPr="00534243">
        <w:rPr>
          <w:color w:val="006A66"/>
          <w:kern w:val="0"/>
          <w:sz w:val="28"/>
          <w:lang w:val="es-ES"/>
          <w14:ligatures w14:val="none"/>
        </w:rPr>
        <w:t>órdenes de magnitud y</w:t>
      </w:r>
      <w:r w:rsidRPr="00643766">
        <w:rPr>
          <w:color w:val="006A66"/>
          <w:kern w:val="0"/>
          <w:sz w:val="28"/>
          <w:lang w:val="es-ES"/>
          <w14:ligatures w14:val="none"/>
        </w:rPr>
        <w:t xml:space="preserve"> los retornos esperados de las inversiones.</w:t>
      </w:r>
    </w:p>
    <w:p w14:paraId="353E6ED6" w14:textId="198377A1" w:rsidR="00643766" w:rsidRPr="00643766" w:rsidRDefault="00643766" w:rsidP="00CD1BE9">
      <w:pPr>
        <w:pStyle w:val="ListParagraph"/>
        <w:numPr>
          <w:ilvl w:val="0"/>
          <w:numId w:val="9"/>
        </w:numPr>
        <w:spacing w:before="120" w:after="120" w:line="240" w:lineRule="auto"/>
        <w:contextualSpacing w:val="0"/>
        <w:jc w:val="both"/>
        <w:rPr>
          <w:color w:val="006A66"/>
          <w:kern w:val="0"/>
          <w:sz w:val="28"/>
          <w:lang w:val="es-ES"/>
          <w14:ligatures w14:val="none"/>
        </w:rPr>
      </w:pPr>
      <w:bookmarkStart w:id="0" w:name="_Hlk221188330"/>
      <w:r w:rsidRPr="00643766">
        <w:rPr>
          <w:color w:val="006A66"/>
          <w:kern w:val="0"/>
          <w:sz w:val="28"/>
          <w:lang w:val="es-ES"/>
          <w14:ligatures w14:val="none"/>
        </w:rPr>
        <w:lastRenderedPageBreak/>
        <w:t>Debatir estrategias concretas de movilización de recursos internos y uso del espacio fiscal, incluidas reformas tributarias y de contribuciones, la reasignación del gasto, la reforma de subsidios regresivos,</w:t>
      </w:r>
      <w:r w:rsidR="001646AC">
        <w:rPr>
          <w:color w:val="006A66"/>
          <w:kern w:val="0"/>
          <w:sz w:val="28"/>
          <w:lang w:val="es-ES"/>
          <w14:ligatures w14:val="none"/>
        </w:rPr>
        <w:t xml:space="preserve"> </w:t>
      </w:r>
      <w:r w:rsidR="001646AC" w:rsidRPr="001646AC">
        <w:rPr>
          <w:color w:val="006A66"/>
          <w:kern w:val="0"/>
          <w:sz w:val="28"/>
          <w:lang w:val="es-ES"/>
          <w14:ligatures w14:val="none"/>
        </w:rPr>
        <w:t>el fortalecimiento de las instituciones de diálogo social</w:t>
      </w:r>
      <w:r w:rsidR="001646AC">
        <w:rPr>
          <w:color w:val="006A66"/>
          <w:kern w:val="0"/>
          <w:sz w:val="28"/>
          <w:lang w:val="es-ES"/>
          <w14:ligatures w14:val="none"/>
        </w:rPr>
        <w:t>,</w:t>
      </w:r>
      <w:r w:rsidRPr="00643766">
        <w:rPr>
          <w:color w:val="006A66"/>
          <w:kern w:val="0"/>
          <w:sz w:val="28"/>
          <w:lang w:val="es-ES"/>
          <w14:ligatures w14:val="none"/>
        </w:rPr>
        <w:t xml:space="preserve"> la formalización de la economía informal, así como mecanismos innovadores (impuestos o contribuciones de solidaridad o sectoriales, mandatos de responsabilidad social empresarial (RSE), fondos locales).</w:t>
      </w:r>
    </w:p>
    <w:bookmarkEnd w:id="0"/>
    <w:p w14:paraId="0CCBE727" w14:textId="77777777" w:rsidR="00C35CA9" w:rsidRPr="00C35CA9" w:rsidRDefault="00643766" w:rsidP="00A1414B">
      <w:pPr>
        <w:pStyle w:val="ListParagraph"/>
        <w:numPr>
          <w:ilvl w:val="0"/>
          <w:numId w:val="9"/>
        </w:numPr>
        <w:spacing w:before="120" w:after="120" w:line="240" w:lineRule="auto"/>
        <w:contextualSpacing w:val="0"/>
        <w:jc w:val="both"/>
        <w:rPr>
          <w:color w:val="006A66"/>
          <w:sz w:val="22"/>
          <w:szCs w:val="22"/>
          <w:lang w:val="es-ES"/>
        </w:rPr>
      </w:pPr>
      <w:r w:rsidRPr="00C35CA9">
        <w:rPr>
          <w:color w:val="006A66"/>
          <w:kern w:val="0"/>
          <w:sz w:val="28"/>
          <w:lang w:val="es-ES"/>
          <w14:ligatures w14:val="none"/>
        </w:rPr>
        <w:t xml:space="preserve">Examinar el rol </w:t>
      </w:r>
      <w:r w:rsidR="00C35CA9" w:rsidRPr="00C35CA9">
        <w:rPr>
          <w:color w:val="006A66"/>
          <w:kern w:val="0"/>
          <w:sz w:val="28"/>
          <w:lang w:val="es-ES"/>
          <w14:ligatures w14:val="none"/>
        </w:rPr>
        <w:t xml:space="preserve">el financiamiento público internacional, el comercio y el sector privado, en particular cómo la ayuda oficial al desarrollo y las instituciones financieras internacionales pueden actuar como catalizadores (apoyo presupuestario, instrumentos basados en resultados, proyectos de inversión), y cómo los acuerdos comerciales, la debida diligencia, el financiamiento mixto, la inversión de impacto, las alianzas </w:t>
      </w:r>
      <w:proofErr w:type="spellStart"/>
      <w:r w:rsidR="00C35CA9" w:rsidRPr="00C35CA9">
        <w:rPr>
          <w:color w:val="006A66"/>
          <w:kern w:val="0"/>
          <w:sz w:val="28"/>
          <w:lang w:val="es-ES"/>
          <w14:ligatures w14:val="none"/>
        </w:rPr>
        <w:t>multiactor</w:t>
      </w:r>
      <w:proofErr w:type="spellEnd"/>
      <w:r w:rsidR="00C35CA9" w:rsidRPr="00C35CA9">
        <w:rPr>
          <w:color w:val="006A66"/>
          <w:kern w:val="0"/>
          <w:sz w:val="28"/>
          <w:lang w:val="es-ES"/>
          <w14:ligatures w14:val="none"/>
        </w:rPr>
        <w:t>, y las acciones de los interlocutores sociales y de la sociedad civil pueden complementar los presupuestos públicos.</w:t>
      </w:r>
      <w:r w:rsidR="00C35CA9" w:rsidRPr="00C35CA9">
        <w:rPr>
          <w:color w:val="006A66"/>
          <w:kern w:val="0"/>
          <w:sz w:val="28"/>
          <w:lang w:val="es-ES"/>
          <w14:ligatures w14:val="none"/>
        </w:rPr>
        <w:t xml:space="preserve"> </w:t>
      </w:r>
    </w:p>
    <w:p w14:paraId="74710985" w14:textId="31B87777" w:rsidR="00CD7B33" w:rsidRPr="00C35CA9" w:rsidRDefault="00643766" w:rsidP="00A1414B">
      <w:pPr>
        <w:pStyle w:val="ListParagraph"/>
        <w:numPr>
          <w:ilvl w:val="0"/>
          <w:numId w:val="9"/>
        </w:numPr>
        <w:spacing w:before="120" w:after="120" w:line="240" w:lineRule="auto"/>
        <w:contextualSpacing w:val="0"/>
        <w:jc w:val="both"/>
        <w:rPr>
          <w:color w:val="006A66"/>
          <w:sz w:val="22"/>
          <w:szCs w:val="22"/>
          <w:lang w:val="es-ES"/>
        </w:rPr>
      </w:pPr>
      <w:r w:rsidRPr="00C35CA9">
        <w:rPr>
          <w:color w:val="006A66"/>
          <w:kern w:val="0"/>
          <w:sz w:val="28"/>
          <w:lang w:val="es-ES"/>
          <w14:ligatures w14:val="none"/>
        </w:rPr>
        <w:t xml:space="preserve">Fortalecer la trazabilidad y la rendición de cuentas, identificando herramientas de finanzas públicas (marcos de gasto de mediano plazo, presupuestación por programas, etiquetado presupuestario) e indicadores que permitan dar seguimiento al gasto y a los resultados vinculados a la prevención y eliminación del trabajo infantil, así como opciones para indicadores compartidos entre la OIT, las instituciones financieras internacionales, la Unión Europea, el sistema de las Naciones Unidas, inversionistas privados y actores sociales. </w:t>
      </w:r>
    </w:p>
    <w:sectPr w:rsidR="00CD7B33" w:rsidRPr="00C35CA9" w:rsidSect="00116A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25F1" w14:textId="77777777" w:rsidR="00B75033" w:rsidRDefault="00B75033" w:rsidP="003F14C5">
      <w:r>
        <w:separator/>
      </w:r>
    </w:p>
  </w:endnote>
  <w:endnote w:type="continuationSeparator" w:id="0">
    <w:p w14:paraId="5657ED57" w14:textId="77777777" w:rsidR="00B75033" w:rsidRDefault="00B75033" w:rsidP="003F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irmala UI"/>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auto"/>
    <w:notTrueType/>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28DC" w14:textId="77777777" w:rsidR="003F14C5" w:rsidRPr="00320E73" w:rsidRDefault="00320E73" w:rsidP="00320E73">
    <w:pPr>
      <w:pStyle w:val="Footer"/>
      <w:jc w:val="right"/>
      <w:rPr>
        <w:caps/>
        <w:color w:val="006A66"/>
      </w:rPr>
    </w:pPr>
    <w:r w:rsidRPr="00320E73">
      <w:rPr>
        <w:noProof/>
        <w:color w:val="006A66"/>
      </w:rPr>
      <mc:AlternateContent>
        <mc:Choice Requires="wps">
          <w:drawing>
            <wp:anchor distT="0" distB="0" distL="114300" distR="114300" simplePos="0" relativeHeight="251658240" behindDoc="0" locked="0" layoutInCell="1" allowOverlap="1" wp14:anchorId="569EB848" wp14:editId="22107F85">
              <wp:simplePos x="0" y="0"/>
              <wp:positionH relativeFrom="column">
                <wp:posOffset>3397822</wp:posOffset>
              </wp:positionH>
              <wp:positionV relativeFrom="paragraph">
                <wp:posOffset>171450</wp:posOffset>
              </wp:positionV>
              <wp:extent cx="2196000" cy="0"/>
              <wp:effectExtent l="0" t="0" r="13970" b="12700"/>
              <wp:wrapNone/>
              <wp:docPr id="6" name="Connecteur droit 6"/>
              <wp:cNvGraphicFramePr/>
              <a:graphic xmlns:a="http://schemas.openxmlformats.org/drawingml/2006/main">
                <a:graphicData uri="http://schemas.microsoft.com/office/word/2010/wordprocessingShape">
                  <wps:wsp>
                    <wps:cNvCnPr/>
                    <wps:spPr>
                      <a:xfrm>
                        <a:off x="0" y="0"/>
                        <a:ext cx="2196000" cy="0"/>
                      </a:xfrm>
                      <a:prstGeom prst="line">
                        <a:avLst/>
                      </a:prstGeom>
                      <a:ln w="3175">
                        <a:solidFill>
                          <a:srgbClr val="006A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94C081" id="Connecteur droit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67.55pt,13.5pt" to="440.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6JvwEAAN4DAAAOAAAAZHJzL2Uyb0RvYy54bWysU9uO0zAQfUfiHyy/0yRFBIiartCulhcE&#10;Ky4f4DrjxpLtsWzTpH/P2G3TFSAhVvvi2OM5Z+YcTzY3szXsACFqdD1vVjVn4CQO2u17/uP7/at3&#10;nMUk3CAMOuj5ESK/2b58sZl8B2sc0QwQGJG42E2+52NKvquqKEewIq7Qg6NLhcGKRMewr4YgJmK3&#10;plrXdVtNGAYfUEKMFL07XfJt4VcKZPqiVITETM+pt1TWUNZdXqvtRnT7IPyo5bkN8YQurNCOii5U&#10;dyIJ9jPoP6islgEjqrSSaCtUSksoGkhNU/+m5tsoPBQtZE70i03x+Wjl58Otewhkw+RjF/1DyCpm&#10;FWz+Un9sLmYdF7NgTkxScN28b+uaPJWXu+oK9CGmj4CW5U3PjXZZh+jE4VNMVIxSLyk5bBybev66&#10;efumZEU0erjXxuS7GPa7WxPYQeQnrNsPbZtfjRgepdHJOApeRZRdOho48X8FxfRAbTenCnm+YKEV&#10;UoJLzZnXOMrOMEUtLMD638BzfoZCmb3/AS+IUhldWsBWOwx/q57mS8vqlH9x4KQ7W7DD4Viet1hD&#10;Q1ScOw98ntLH5wK//pbbXwAAAP//AwBQSwMEFAAGAAgAAAAhAB3Lv8rdAAAACQEAAA8AAABkcnMv&#10;ZG93bnJldi54bWxMj8FOg0AQhu8mvsNmTLzZhRoUKUtjjJr0YlI06XVhp0BlZwm7BXx7x3jQ48x8&#10;+ef78+1iezHh6DtHCuJVBAKpdqajRsHH+8tNCsIHTUb3jlDBF3rYFpcXuc6Mm2mPUxkawSHkM62g&#10;DWHIpPR1i1b7lRuQ+HZ0o9WBx7GRZtQzh9terqPoTlrdEX9o9YBPLdaf5dkqmN7Sw+l5fh3cLj5W&#10;e2eS8mB3Sl1fLY8bEAGX8AfDjz6rQ8FOlTuT8aJXkNwmMaMK1vfciYE0jR5AVL8LWeTyf4PiGwAA&#10;//8DAFBLAQItABQABgAIAAAAIQC2gziS/gAAAOEBAAATAAAAAAAAAAAAAAAAAAAAAABbQ29udGVu&#10;dF9UeXBlc10ueG1sUEsBAi0AFAAGAAgAAAAhADj9If/WAAAAlAEAAAsAAAAAAAAAAAAAAAAALwEA&#10;AF9yZWxzLy5yZWxzUEsBAi0AFAAGAAgAAAAhALJ7Xom/AQAA3gMAAA4AAAAAAAAAAAAAAAAALgIA&#10;AGRycy9lMm9Eb2MueG1sUEsBAi0AFAAGAAgAAAAhAB3Lv8rdAAAACQEAAA8AAAAAAAAAAAAAAAAA&#10;GQQAAGRycy9kb3ducmV2LnhtbFBLBQYAAAAABAAEAPMAAAAjBQAAAAA=&#10;" strokecolor="#006a66" strokeweight=".25pt">
              <v:stroke joinstyle="miter"/>
            </v:line>
          </w:pict>
        </mc:Fallback>
      </mc:AlternateContent>
    </w:r>
    <w:r w:rsidR="003F14C5" w:rsidRPr="00320E73">
      <w:rPr>
        <w:caps/>
        <w:color w:val="006A66"/>
      </w:rPr>
      <w:fldChar w:fldCharType="begin"/>
    </w:r>
    <w:r w:rsidR="003F14C5" w:rsidRPr="00320E73">
      <w:rPr>
        <w:caps/>
        <w:color w:val="006A66"/>
      </w:rPr>
      <w:instrText>PAGE   \* MERGEFORMAT</w:instrText>
    </w:r>
    <w:r w:rsidR="003F14C5" w:rsidRPr="00320E73">
      <w:rPr>
        <w:caps/>
        <w:color w:val="006A66"/>
      </w:rPr>
      <w:fldChar w:fldCharType="separate"/>
    </w:r>
    <w:r w:rsidR="003F14C5" w:rsidRPr="00320E73">
      <w:rPr>
        <w:caps/>
        <w:color w:val="006A66"/>
      </w:rPr>
      <w:t>2</w:t>
    </w:r>
    <w:r w:rsidR="003F14C5" w:rsidRPr="00320E73">
      <w:rPr>
        <w:caps/>
        <w:color w:val="006A66"/>
      </w:rPr>
      <w:fldChar w:fldCharType="end"/>
    </w:r>
  </w:p>
  <w:p w14:paraId="418A5378" w14:textId="77777777" w:rsidR="003F14C5" w:rsidRDefault="003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B88C" w14:textId="77777777" w:rsidR="00B75033" w:rsidRDefault="00B75033" w:rsidP="003F14C5">
      <w:r>
        <w:separator/>
      </w:r>
    </w:p>
  </w:footnote>
  <w:footnote w:type="continuationSeparator" w:id="0">
    <w:p w14:paraId="5C2FC6A6" w14:textId="77777777" w:rsidR="00B75033" w:rsidRDefault="00B75033" w:rsidP="003F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B870" w14:textId="77777777" w:rsidR="003F14C5" w:rsidRPr="003B7005" w:rsidRDefault="001C299A" w:rsidP="003B7005">
    <w:pPr>
      <w:pStyle w:val="Header"/>
    </w:pPr>
    <w:r>
      <w:rPr>
        <w:noProof/>
      </w:rPr>
      <w:drawing>
        <wp:anchor distT="0" distB="0" distL="114300" distR="114300" simplePos="0" relativeHeight="251658241" behindDoc="1" locked="0" layoutInCell="1" allowOverlap="1" wp14:anchorId="3EB00374" wp14:editId="018140C7">
          <wp:simplePos x="0" y="0"/>
          <wp:positionH relativeFrom="column">
            <wp:posOffset>-892239</wp:posOffset>
          </wp:positionH>
          <wp:positionV relativeFrom="paragraph">
            <wp:posOffset>-442024</wp:posOffset>
          </wp:positionV>
          <wp:extent cx="7541911" cy="10667747"/>
          <wp:effectExtent l="0" t="0" r="190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46073" cy="106736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2CEE"/>
    <w:multiLevelType w:val="hybridMultilevel"/>
    <w:tmpl w:val="BDA029AC"/>
    <w:lvl w:ilvl="0" w:tplc="5880B324">
      <w:start w:val="1"/>
      <w:numFmt w:val="upperRoman"/>
      <w:pStyle w:val="Heading2"/>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B47F34"/>
    <w:multiLevelType w:val="hybridMultilevel"/>
    <w:tmpl w:val="84E6112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F062D7"/>
    <w:multiLevelType w:val="multilevel"/>
    <w:tmpl w:val="D2D4A18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A6F578E"/>
    <w:multiLevelType w:val="multilevel"/>
    <w:tmpl w:val="36DCED5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DE33720"/>
    <w:multiLevelType w:val="multilevel"/>
    <w:tmpl w:val="2D32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D92890"/>
    <w:multiLevelType w:val="hybridMultilevel"/>
    <w:tmpl w:val="F15E4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355057"/>
    <w:multiLevelType w:val="hybridMultilevel"/>
    <w:tmpl w:val="B308ABEC"/>
    <w:lvl w:ilvl="0" w:tplc="BB7CF7F0">
      <w:numFmt w:val="bullet"/>
      <w:lvlText w:val="•"/>
      <w:lvlJc w:val="left"/>
      <w:pPr>
        <w:ind w:left="720" w:hanging="360"/>
      </w:pPr>
      <w:rPr>
        <w:rFonts w:ascii="Noto Sans" w:eastAsiaTheme="minorHAnsi" w:hAnsi="Noto Sans" w:cs="Noto Sans" w:hint="default"/>
        <w:sz w:val="24"/>
        <w:szCs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DC8121B"/>
    <w:multiLevelType w:val="hybridMultilevel"/>
    <w:tmpl w:val="B33816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C27DF0"/>
    <w:multiLevelType w:val="multilevel"/>
    <w:tmpl w:val="737E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A2E1F"/>
    <w:multiLevelType w:val="multilevel"/>
    <w:tmpl w:val="4EB6047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5046328"/>
    <w:multiLevelType w:val="multilevel"/>
    <w:tmpl w:val="F2E87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66022F"/>
    <w:multiLevelType w:val="hybridMultilevel"/>
    <w:tmpl w:val="D8D2909E"/>
    <w:lvl w:ilvl="0" w:tplc="2FFC56E8">
      <w:start w:val="1"/>
      <w:numFmt w:val="bullet"/>
      <w:pStyle w:val="Heading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894A7A"/>
    <w:multiLevelType w:val="multilevel"/>
    <w:tmpl w:val="CB86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35C3E"/>
    <w:multiLevelType w:val="multilevel"/>
    <w:tmpl w:val="B0EE2F5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D717306"/>
    <w:multiLevelType w:val="multilevel"/>
    <w:tmpl w:val="EBB0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F7BAA"/>
    <w:multiLevelType w:val="multilevel"/>
    <w:tmpl w:val="FD484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B307F9"/>
    <w:multiLevelType w:val="hybridMultilevel"/>
    <w:tmpl w:val="E0B4F1FA"/>
    <w:lvl w:ilvl="0" w:tplc="87AEB636">
      <w:start w:val="1"/>
      <w:numFmt w:val="decimal"/>
      <w:pStyle w:val="Heading3"/>
      <w:lvlText w:val="%1."/>
      <w:lvlJc w:val="left"/>
      <w:pPr>
        <w:ind w:left="717"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F512AB"/>
    <w:multiLevelType w:val="hybridMultilevel"/>
    <w:tmpl w:val="D1A8BD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98015919">
    <w:abstractNumId w:val="7"/>
  </w:num>
  <w:num w:numId="2" w16cid:durableId="1906603929">
    <w:abstractNumId w:val="5"/>
  </w:num>
  <w:num w:numId="3" w16cid:durableId="1595361890">
    <w:abstractNumId w:val="0"/>
  </w:num>
  <w:num w:numId="4" w16cid:durableId="951396683">
    <w:abstractNumId w:val="16"/>
  </w:num>
  <w:num w:numId="5" w16cid:durableId="1596747021">
    <w:abstractNumId w:val="10"/>
  </w:num>
  <w:num w:numId="6" w16cid:durableId="1927575323">
    <w:abstractNumId w:val="11"/>
  </w:num>
  <w:num w:numId="7" w16cid:durableId="189488970">
    <w:abstractNumId w:val="0"/>
  </w:num>
  <w:num w:numId="8" w16cid:durableId="1480540944">
    <w:abstractNumId w:val="0"/>
  </w:num>
  <w:num w:numId="9" w16cid:durableId="1482962890">
    <w:abstractNumId w:val="1"/>
  </w:num>
  <w:num w:numId="10" w16cid:durableId="729809691">
    <w:abstractNumId w:val="15"/>
  </w:num>
  <w:num w:numId="11" w16cid:durableId="1598975530">
    <w:abstractNumId w:val="12"/>
  </w:num>
  <w:num w:numId="12" w16cid:durableId="2079089255">
    <w:abstractNumId w:val="14"/>
  </w:num>
  <w:num w:numId="13" w16cid:durableId="669069285">
    <w:abstractNumId w:val="4"/>
  </w:num>
  <w:num w:numId="14" w16cid:durableId="895353634">
    <w:abstractNumId w:val="3"/>
  </w:num>
  <w:num w:numId="15" w16cid:durableId="818306163">
    <w:abstractNumId w:val="9"/>
  </w:num>
  <w:num w:numId="16" w16cid:durableId="1548835290">
    <w:abstractNumId w:val="13"/>
  </w:num>
  <w:num w:numId="17" w16cid:durableId="960767434">
    <w:abstractNumId w:val="2"/>
  </w:num>
  <w:num w:numId="18" w16cid:durableId="461457572">
    <w:abstractNumId w:val="8"/>
  </w:num>
  <w:num w:numId="19" w16cid:durableId="1650986541">
    <w:abstractNumId w:val="17"/>
  </w:num>
  <w:num w:numId="20" w16cid:durableId="1861308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D2"/>
    <w:rsid w:val="00011F28"/>
    <w:rsid w:val="00031D75"/>
    <w:rsid w:val="00042D5C"/>
    <w:rsid w:val="000469B8"/>
    <w:rsid w:val="00063AAF"/>
    <w:rsid w:val="00085BBC"/>
    <w:rsid w:val="000A175B"/>
    <w:rsid w:val="000A2F1B"/>
    <w:rsid w:val="000F6108"/>
    <w:rsid w:val="00106E49"/>
    <w:rsid w:val="00112680"/>
    <w:rsid w:val="001149B5"/>
    <w:rsid w:val="00116AE3"/>
    <w:rsid w:val="00132E45"/>
    <w:rsid w:val="001646AC"/>
    <w:rsid w:val="0017016F"/>
    <w:rsid w:val="00172DB3"/>
    <w:rsid w:val="00191DB6"/>
    <w:rsid w:val="00193155"/>
    <w:rsid w:val="001A0BCF"/>
    <w:rsid w:val="001A3B5D"/>
    <w:rsid w:val="001B08F6"/>
    <w:rsid w:val="001B6560"/>
    <w:rsid w:val="001C299A"/>
    <w:rsid w:val="001D3E4C"/>
    <w:rsid w:val="001E2CAC"/>
    <w:rsid w:val="001F1229"/>
    <w:rsid w:val="001F2F48"/>
    <w:rsid w:val="001F4CE3"/>
    <w:rsid w:val="0020569D"/>
    <w:rsid w:val="002101A1"/>
    <w:rsid w:val="0025264C"/>
    <w:rsid w:val="00255D01"/>
    <w:rsid w:val="002750FC"/>
    <w:rsid w:val="00281447"/>
    <w:rsid w:val="00292D94"/>
    <w:rsid w:val="002E036B"/>
    <w:rsid w:val="00302818"/>
    <w:rsid w:val="00320E73"/>
    <w:rsid w:val="00322A3C"/>
    <w:rsid w:val="00336335"/>
    <w:rsid w:val="00361FC7"/>
    <w:rsid w:val="003735C1"/>
    <w:rsid w:val="00375D5B"/>
    <w:rsid w:val="003B7005"/>
    <w:rsid w:val="003F14C5"/>
    <w:rsid w:val="003F6A9B"/>
    <w:rsid w:val="00400DED"/>
    <w:rsid w:val="00405681"/>
    <w:rsid w:val="0042535A"/>
    <w:rsid w:val="004411B4"/>
    <w:rsid w:val="00451E32"/>
    <w:rsid w:val="00455A82"/>
    <w:rsid w:val="004615B4"/>
    <w:rsid w:val="00491CCF"/>
    <w:rsid w:val="004B2205"/>
    <w:rsid w:val="004F1D4D"/>
    <w:rsid w:val="004F6974"/>
    <w:rsid w:val="00511C71"/>
    <w:rsid w:val="00517C95"/>
    <w:rsid w:val="00522DEF"/>
    <w:rsid w:val="00534243"/>
    <w:rsid w:val="00576F95"/>
    <w:rsid w:val="005C1968"/>
    <w:rsid w:val="005D11BE"/>
    <w:rsid w:val="005E3CCC"/>
    <w:rsid w:val="005E3E28"/>
    <w:rsid w:val="00611390"/>
    <w:rsid w:val="0062248D"/>
    <w:rsid w:val="00624A7C"/>
    <w:rsid w:val="00626D4C"/>
    <w:rsid w:val="00632B80"/>
    <w:rsid w:val="0063633D"/>
    <w:rsid w:val="00643766"/>
    <w:rsid w:val="00664F76"/>
    <w:rsid w:val="00685DC4"/>
    <w:rsid w:val="00693325"/>
    <w:rsid w:val="006D2439"/>
    <w:rsid w:val="006D5C65"/>
    <w:rsid w:val="00711690"/>
    <w:rsid w:val="00715E49"/>
    <w:rsid w:val="007177AB"/>
    <w:rsid w:val="00722946"/>
    <w:rsid w:val="00731442"/>
    <w:rsid w:val="007805C1"/>
    <w:rsid w:val="007904BA"/>
    <w:rsid w:val="00790D66"/>
    <w:rsid w:val="00792239"/>
    <w:rsid w:val="007B2EC3"/>
    <w:rsid w:val="007C781A"/>
    <w:rsid w:val="007E0A57"/>
    <w:rsid w:val="007E2E1D"/>
    <w:rsid w:val="008448E4"/>
    <w:rsid w:val="00847CDC"/>
    <w:rsid w:val="00855F95"/>
    <w:rsid w:val="00862559"/>
    <w:rsid w:val="00864BE5"/>
    <w:rsid w:val="00866A5D"/>
    <w:rsid w:val="0087284D"/>
    <w:rsid w:val="008769C3"/>
    <w:rsid w:val="008A7372"/>
    <w:rsid w:val="008D33CB"/>
    <w:rsid w:val="008E1CC1"/>
    <w:rsid w:val="008E5B10"/>
    <w:rsid w:val="008F558A"/>
    <w:rsid w:val="00912129"/>
    <w:rsid w:val="009146E7"/>
    <w:rsid w:val="00933E9C"/>
    <w:rsid w:val="00936D06"/>
    <w:rsid w:val="009469CC"/>
    <w:rsid w:val="009569C9"/>
    <w:rsid w:val="009577ED"/>
    <w:rsid w:val="00965D50"/>
    <w:rsid w:val="0097031F"/>
    <w:rsid w:val="00971381"/>
    <w:rsid w:val="00977CAB"/>
    <w:rsid w:val="00980323"/>
    <w:rsid w:val="009B3182"/>
    <w:rsid w:val="009C1809"/>
    <w:rsid w:val="00A01EA0"/>
    <w:rsid w:val="00A060DA"/>
    <w:rsid w:val="00A07679"/>
    <w:rsid w:val="00A22159"/>
    <w:rsid w:val="00A233A1"/>
    <w:rsid w:val="00A35C6A"/>
    <w:rsid w:val="00A36C83"/>
    <w:rsid w:val="00A40934"/>
    <w:rsid w:val="00A4134F"/>
    <w:rsid w:val="00A4173F"/>
    <w:rsid w:val="00A559CF"/>
    <w:rsid w:val="00A85EC2"/>
    <w:rsid w:val="00AA0AF8"/>
    <w:rsid w:val="00AA173F"/>
    <w:rsid w:val="00AC2D40"/>
    <w:rsid w:val="00AE0240"/>
    <w:rsid w:val="00AE7FDC"/>
    <w:rsid w:val="00AF4B15"/>
    <w:rsid w:val="00B13886"/>
    <w:rsid w:val="00B63C5F"/>
    <w:rsid w:val="00B75033"/>
    <w:rsid w:val="00B90A80"/>
    <w:rsid w:val="00B91DB1"/>
    <w:rsid w:val="00B94175"/>
    <w:rsid w:val="00BA1338"/>
    <w:rsid w:val="00BC4895"/>
    <w:rsid w:val="00C16825"/>
    <w:rsid w:val="00C22BCD"/>
    <w:rsid w:val="00C324FF"/>
    <w:rsid w:val="00C35CA9"/>
    <w:rsid w:val="00C50263"/>
    <w:rsid w:val="00C56F89"/>
    <w:rsid w:val="00C6556C"/>
    <w:rsid w:val="00C66DF1"/>
    <w:rsid w:val="00C733E3"/>
    <w:rsid w:val="00C8273C"/>
    <w:rsid w:val="00CB34DA"/>
    <w:rsid w:val="00CB6031"/>
    <w:rsid w:val="00CD1BE9"/>
    <w:rsid w:val="00CD7B33"/>
    <w:rsid w:val="00CE0E98"/>
    <w:rsid w:val="00CF1A1A"/>
    <w:rsid w:val="00D014C4"/>
    <w:rsid w:val="00D05C38"/>
    <w:rsid w:val="00D067AE"/>
    <w:rsid w:val="00D10C6A"/>
    <w:rsid w:val="00D4101F"/>
    <w:rsid w:val="00D53BBE"/>
    <w:rsid w:val="00D55185"/>
    <w:rsid w:val="00D55C6D"/>
    <w:rsid w:val="00D578E9"/>
    <w:rsid w:val="00D61274"/>
    <w:rsid w:val="00D63586"/>
    <w:rsid w:val="00D7698A"/>
    <w:rsid w:val="00D910C4"/>
    <w:rsid w:val="00DA21FC"/>
    <w:rsid w:val="00DB789D"/>
    <w:rsid w:val="00DF4D69"/>
    <w:rsid w:val="00E04749"/>
    <w:rsid w:val="00E16D2A"/>
    <w:rsid w:val="00E17B7A"/>
    <w:rsid w:val="00E204BF"/>
    <w:rsid w:val="00E43536"/>
    <w:rsid w:val="00E5231B"/>
    <w:rsid w:val="00E73DFE"/>
    <w:rsid w:val="00E91D5C"/>
    <w:rsid w:val="00EC13BB"/>
    <w:rsid w:val="00EC6A2F"/>
    <w:rsid w:val="00EC6AF9"/>
    <w:rsid w:val="00F2319D"/>
    <w:rsid w:val="00F433F3"/>
    <w:rsid w:val="00F436D2"/>
    <w:rsid w:val="00F72A78"/>
    <w:rsid w:val="00F97DF9"/>
    <w:rsid w:val="00FA58AB"/>
    <w:rsid w:val="00FC14A5"/>
    <w:rsid w:val="00FC3105"/>
    <w:rsid w:val="00FE6B4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37C32"/>
  <w15:chartTrackingRefBased/>
  <w15:docId w15:val="{6A6E6B81-517E-4AF6-9478-77886FC7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49"/>
    <w:pPr>
      <w:spacing w:before="120" w:after="120"/>
      <w:jc w:val="lowKashida"/>
    </w:pPr>
  </w:style>
  <w:style w:type="paragraph" w:styleId="Heading1">
    <w:name w:val="heading 1"/>
    <w:basedOn w:val="Normal"/>
    <w:link w:val="Heading1Char"/>
    <w:uiPriority w:val="9"/>
    <w:qFormat/>
    <w:rsid w:val="00715E49"/>
    <w:pPr>
      <w:spacing w:before="240" w:after="240"/>
      <w:jc w:val="left"/>
      <w:outlineLvl w:val="0"/>
    </w:pPr>
    <w:rPr>
      <w:rFonts w:ascii="Cera Pro" w:eastAsia="Times New Roman" w:hAnsi="Cera Pro" w:cs="Times New Roman"/>
      <w:b/>
      <w:bCs/>
      <w:color w:val="006A66"/>
      <w:kern w:val="36"/>
      <w:sz w:val="50"/>
      <w:szCs w:val="48"/>
      <w:lang w:eastAsia="fr-FR"/>
    </w:rPr>
  </w:style>
  <w:style w:type="paragraph" w:styleId="Heading2">
    <w:name w:val="heading 2"/>
    <w:basedOn w:val="Normal"/>
    <w:next w:val="Normal"/>
    <w:link w:val="Heading2Char"/>
    <w:uiPriority w:val="9"/>
    <w:unhideWhenUsed/>
    <w:qFormat/>
    <w:rsid w:val="00715E49"/>
    <w:pPr>
      <w:keepNext/>
      <w:keepLines/>
      <w:numPr>
        <w:numId w:val="3"/>
      </w:numPr>
      <w:spacing w:before="360"/>
      <w:jc w:val="left"/>
      <w:outlineLvl w:val="1"/>
    </w:pPr>
    <w:rPr>
      <w:rFonts w:eastAsiaTheme="majorEastAsia" w:cstheme="majorBidi"/>
      <w:b/>
      <w:color w:val="006A66"/>
      <w:sz w:val="30"/>
      <w:szCs w:val="26"/>
    </w:rPr>
  </w:style>
  <w:style w:type="paragraph" w:styleId="Heading3">
    <w:name w:val="heading 3"/>
    <w:basedOn w:val="Normal"/>
    <w:next w:val="Normal"/>
    <w:link w:val="Heading3Char"/>
    <w:uiPriority w:val="9"/>
    <w:unhideWhenUsed/>
    <w:qFormat/>
    <w:rsid w:val="00715E49"/>
    <w:pPr>
      <w:keepNext/>
      <w:keepLines/>
      <w:numPr>
        <w:numId w:val="4"/>
      </w:numPr>
      <w:spacing w:before="360"/>
      <w:ind w:left="714" w:hanging="357"/>
      <w:jc w:val="left"/>
      <w:outlineLvl w:val="2"/>
    </w:pPr>
    <w:rPr>
      <w:rFonts w:ascii="Calibri" w:eastAsiaTheme="majorEastAsia" w:hAnsi="Calibri" w:cstheme="majorBidi"/>
      <w:b/>
      <w:color w:val="E5702A"/>
      <w:sz w:val="26"/>
    </w:rPr>
  </w:style>
  <w:style w:type="paragraph" w:styleId="Heading4">
    <w:name w:val="heading 4"/>
    <w:basedOn w:val="Normal"/>
    <w:next w:val="Normal"/>
    <w:link w:val="Heading4Char"/>
    <w:uiPriority w:val="9"/>
    <w:unhideWhenUsed/>
    <w:qFormat/>
    <w:rsid w:val="00E16D2A"/>
    <w:pPr>
      <w:keepNext/>
      <w:keepLines/>
      <w:numPr>
        <w:numId w:val="6"/>
      </w:numPr>
      <w:spacing w:before="240"/>
      <w:ind w:left="641" w:hanging="357"/>
      <w:outlineLvl w:val="3"/>
    </w:pPr>
    <w:rPr>
      <w:rFonts w:eastAsiaTheme="majorEastAsia" w:cstheme="majorBidi"/>
      <w:i/>
      <w:iCs/>
      <w:color w:val="E570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49"/>
    <w:rPr>
      <w:rFonts w:ascii="Cera Pro" w:eastAsia="Times New Roman" w:hAnsi="Cera Pro" w:cs="Times New Roman"/>
      <w:b/>
      <w:bCs/>
      <w:color w:val="006A66"/>
      <w:kern w:val="36"/>
      <w:sz w:val="50"/>
      <w:szCs w:val="48"/>
      <w:lang w:eastAsia="fr-FR"/>
    </w:rPr>
  </w:style>
  <w:style w:type="character" w:customStyle="1" w:styleId="Heading3Char">
    <w:name w:val="Heading 3 Char"/>
    <w:basedOn w:val="DefaultParagraphFont"/>
    <w:link w:val="Heading3"/>
    <w:uiPriority w:val="9"/>
    <w:rsid w:val="00715E49"/>
    <w:rPr>
      <w:rFonts w:ascii="Calibri" w:eastAsiaTheme="majorEastAsia" w:hAnsi="Calibri" w:cstheme="majorBidi"/>
      <w:b/>
      <w:color w:val="E5702A"/>
      <w:sz w:val="26"/>
    </w:rPr>
  </w:style>
  <w:style w:type="paragraph" w:styleId="NormalWeb">
    <w:name w:val="Normal (Web)"/>
    <w:basedOn w:val="Normal"/>
    <w:uiPriority w:val="99"/>
    <w:unhideWhenUsed/>
    <w:rsid w:val="00F436D2"/>
    <w:pPr>
      <w:spacing w:before="100" w:beforeAutospacing="1" w:after="100" w:afterAutospacing="1"/>
    </w:pPr>
    <w:rPr>
      <w:rFonts w:ascii="Times New Roman" w:eastAsia="Times New Roman" w:hAnsi="Times New Roman" w:cs="Times New Roman"/>
      <w:lang w:eastAsia="fr-FR"/>
    </w:rPr>
  </w:style>
  <w:style w:type="character" w:styleId="Hyperlink">
    <w:name w:val="Hyperlink"/>
    <w:basedOn w:val="DefaultParagraphFont"/>
    <w:uiPriority w:val="99"/>
    <w:semiHidden/>
    <w:unhideWhenUsed/>
    <w:rsid w:val="00F436D2"/>
    <w:rPr>
      <w:color w:val="0000FF"/>
      <w:u w:val="single"/>
    </w:rPr>
  </w:style>
  <w:style w:type="character" w:styleId="Emphasis">
    <w:name w:val="Emphasis"/>
    <w:basedOn w:val="DefaultParagraphFont"/>
    <w:uiPriority w:val="20"/>
    <w:qFormat/>
    <w:rsid w:val="00F436D2"/>
    <w:rPr>
      <w:i/>
      <w:iCs/>
    </w:rPr>
  </w:style>
  <w:style w:type="character" w:styleId="Strong">
    <w:name w:val="Strong"/>
    <w:basedOn w:val="DefaultParagraphFont"/>
    <w:uiPriority w:val="22"/>
    <w:qFormat/>
    <w:rsid w:val="00DF4D69"/>
    <w:rPr>
      <w:b/>
      <w:bCs/>
    </w:rPr>
  </w:style>
  <w:style w:type="character" w:styleId="FollowedHyperlink">
    <w:name w:val="FollowedHyperlink"/>
    <w:basedOn w:val="DefaultParagraphFont"/>
    <w:uiPriority w:val="99"/>
    <w:semiHidden/>
    <w:unhideWhenUsed/>
    <w:rsid w:val="00DF4D69"/>
    <w:rPr>
      <w:color w:val="954F72" w:themeColor="followedHyperlink"/>
      <w:u w:val="single"/>
    </w:rPr>
  </w:style>
  <w:style w:type="paragraph" w:styleId="Header">
    <w:name w:val="header"/>
    <w:basedOn w:val="Normal"/>
    <w:link w:val="HeaderChar"/>
    <w:uiPriority w:val="99"/>
    <w:unhideWhenUsed/>
    <w:rsid w:val="003F14C5"/>
    <w:pPr>
      <w:tabs>
        <w:tab w:val="center" w:pos="4536"/>
        <w:tab w:val="right" w:pos="9072"/>
      </w:tabs>
    </w:pPr>
  </w:style>
  <w:style w:type="character" w:customStyle="1" w:styleId="HeaderChar">
    <w:name w:val="Header Char"/>
    <w:basedOn w:val="DefaultParagraphFont"/>
    <w:link w:val="Header"/>
    <w:uiPriority w:val="99"/>
    <w:rsid w:val="003F14C5"/>
  </w:style>
  <w:style w:type="paragraph" w:styleId="Footer">
    <w:name w:val="footer"/>
    <w:basedOn w:val="Normal"/>
    <w:link w:val="FooterChar"/>
    <w:uiPriority w:val="99"/>
    <w:unhideWhenUsed/>
    <w:rsid w:val="003F14C5"/>
    <w:pPr>
      <w:tabs>
        <w:tab w:val="center" w:pos="4536"/>
        <w:tab w:val="right" w:pos="9072"/>
      </w:tabs>
    </w:pPr>
  </w:style>
  <w:style w:type="character" w:customStyle="1" w:styleId="FooterChar">
    <w:name w:val="Footer Char"/>
    <w:basedOn w:val="DefaultParagraphFont"/>
    <w:link w:val="Footer"/>
    <w:uiPriority w:val="99"/>
    <w:rsid w:val="003F14C5"/>
  </w:style>
  <w:style w:type="character" w:customStyle="1" w:styleId="Heading2Char">
    <w:name w:val="Heading 2 Char"/>
    <w:basedOn w:val="DefaultParagraphFont"/>
    <w:link w:val="Heading2"/>
    <w:uiPriority w:val="9"/>
    <w:rsid w:val="00715E49"/>
    <w:rPr>
      <w:rFonts w:eastAsiaTheme="majorEastAsia" w:cstheme="majorBidi"/>
      <w:b/>
      <w:color w:val="006A66"/>
      <w:sz w:val="30"/>
      <w:szCs w:val="26"/>
    </w:rPr>
  </w:style>
  <w:style w:type="character" w:customStyle="1" w:styleId="Heading4Char">
    <w:name w:val="Heading 4 Char"/>
    <w:basedOn w:val="DefaultParagraphFont"/>
    <w:link w:val="Heading4"/>
    <w:uiPriority w:val="9"/>
    <w:rsid w:val="00E16D2A"/>
    <w:rPr>
      <w:rFonts w:eastAsiaTheme="majorEastAsia" w:cstheme="majorBidi"/>
      <w:i/>
      <w:iCs/>
      <w:color w:val="E5702A"/>
    </w:rPr>
  </w:style>
  <w:style w:type="paragraph" w:styleId="NoSpacing">
    <w:name w:val="No Spacing"/>
    <w:uiPriority w:val="1"/>
    <w:qFormat/>
    <w:rsid w:val="00715E49"/>
    <w:pPr>
      <w:spacing w:before="120" w:after="120"/>
    </w:pPr>
    <w:rPr>
      <w:color w:val="006A66"/>
      <w:sz w:val="28"/>
    </w:rPr>
  </w:style>
  <w:style w:type="paragraph" w:styleId="ListParagraph">
    <w:name w:val="List Paragraph"/>
    <w:basedOn w:val="Normal"/>
    <w:uiPriority w:val="34"/>
    <w:qFormat/>
    <w:rsid w:val="0087284D"/>
    <w:pPr>
      <w:spacing w:before="0" w:after="160" w:line="278" w:lineRule="auto"/>
      <w:ind w:left="720"/>
      <w:contextualSpacing/>
      <w:jc w:val="left"/>
    </w:pPr>
    <w:rPr>
      <w:kern w:val="2"/>
      <w:lang w:val="en-US"/>
      <w14:ligatures w14:val="standardContextual"/>
    </w:rPr>
  </w:style>
  <w:style w:type="paragraph" w:styleId="Revision">
    <w:name w:val="Revision"/>
    <w:hidden/>
    <w:uiPriority w:val="99"/>
    <w:semiHidden/>
    <w:rsid w:val="005C1968"/>
  </w:style>
  <w:style w:type="character" w:styleId="CommentReference">
    <w:name w:val="annotation reference"/>
    <w:basedOn w:val="DefaultParagraphFont"/>
    <w:uiPriority w:val="99"/>
    <w:semiHidden/>
    <w:unhideWhenUsed/>
    <w:rsid w:val="009577ED"/>
    <w:rPr>
      <w:sz w:val="16"/>
      <w:szCs w:val="16"/>
    </w:rPr>
  </w:style>
  <w:style w:type="paragraph" w:styleId="CommentText">
    <w:name w:val="annotation text"/>
    <w:basedOn w:val="Normal"/>
    <w:link w:val="CommentTextChar"/>
    <w:uiPriority w:val="99"/>
    <w:unhideWhenUsed/>
    <w:rsid w:val="009577ED"/>
    <w:rPr>
      <w:sz w:val="20"/>
      <w:szCs w:val="20"/>
    </w:rPr>
  </w:style>
  <w:style w:type="character" w:customStyle="1" w:styleId="CommentTextChar">
    <w:name w:val="Comment Text Char"/>
    <w:basedOn w:val="DefaultParagraphFont"/>
    <w:link w:val="CommentText"/>
    <w:uiPriority w:val="99"/>
    <w:rsid w:val="009577ED"/>
    <w:rPr>
      <w:sz w:val="20"/>
      <w:szCs w:val="20"/>
    </w:rPr>
  </w:style>
  <w:style w:type="paragraph" w:styleId="CommentSubject">
    <w:name w:val="annotation subject"/>
    <w:basedOn w:val="CommentText"/>
    <w:next w:val="CommentText"/>
    <w:link w:val="CommentSubjectChar"/>
    <w:uiPriority w:val="99"/>
    <w:semiHidden/>
    <w:unhideWhenUsed/>
    <w:rsid w:val="009577ED"/>
    <w:rPr>
      <w:b/>
      <w:bCs/>
    </w:rPr>
  </w:style>
  <w:style w:type="character" w:customStyle="1" w:styleId="CommentSubjectChar">
    <w:name w:val="Comment Subject Char"/>
    <w:basedOn w:val="CommentTextChar"/>
    <w:link w:val="CommentSubject"/>
    <w:uiPriority w:val="99"/>
    <w:semiHidden/>
    <w:rsid w:val="009577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91390">
      <w:bodyDiv w:val="1"/>
      <w:marLeft w:val="0"/>
      <w:marRight w:val="0"/>
      <w:marTop w:val="0"/>
      <w:marBottom w:val="0"/>
      <w:divBdr>
        <w:top w:val="none" w:sz="0" w:space="0" w:color="auto"/>
        <w:left w:val="none" w:sz="0" w:space="0" w:color="auto"/>
        <w:bottom w:val="none" w:sz="0" w:space="0" w:color="auto"/>
        <w:right w:val="none" w:sz="0" w:space="0" w:color="auto"/>
      </w:divBdr>
    </w:div>
    <w:div w:id="595869059">
      <w:bodyDiv w:val="1"/>
      <w:marLeft w:val="0"/>
      <w:marRight w:val="0"/>
      <w:marTop w:val="0"/>
      <w:marBottom w:val="0"/>
      <w:divBdr>
        <w:top w:val="none" w:sz="0" w:space="0" w:color="auto"/>
        <w:left w:val="none" w:sz="0" w:space="0" w:color="auto"/>
        <w:bottom w:val="none" w:sz="0" w:space="0" w:color="auto"/>
        <w:right w:val="none" w:sz="0" w:space="0" w:color="auto"/>
      </w:divBdr>
    </w:div>
    <w:div w:id="722559124">
      <w:bodyDiv w:val="1"/>
      <w:marLeft w:val="0"/>
      <w:marRight w:val="0"/>
      <w:marTop w:val="0"/>
      <w:marBottom w:val="0"/>
      <w:divBdr>
        <w:top w:val="none" w:sz="0" w:space="0" w:color="auto"/>
        <w:left w:val="none" w:sz="0" w:space="0" w:color="auto"/>
        <w:bottom w:val="none" w:sz="0" w:space="0" w:color="auto"/>
        <w:right w:val="none" w:sz="0" w:space="0" w:color="auto"/>
      </w:divBdr>
    </w:div>
    <w:div w:id="1082528110">
      <w:bodyDiv w:val="1"/>
      <w:marLeft w:val="0"/>
      <w:marRight w:val="0"/>
      <w:marTop w:val="0"/>
      <w:marBottom w:val="0"/>
      <w:divBdr>
        <w:top w:val="none" w:sz="0" w:space="0" w:color="auto"/>
        <w:left w:val="none" w:sz="0" w:space="0" w:color="auto"/>
        <w:bottom w:val="none" w:sz="0" w:space="0" w:color="auto"/>
        <w:right w:val="none" w:sz="0" w:space="0" w:color="auto"/>
      </w:divBdr>
    </w:div>
    <w:div w:id="1124545262">
      <w:bodyDiv w:val="1"/>
      <w:marLeft w:val="0"/>
      <w:marRight w:val="0"/>
      <w:marTop w:val="0"/>
      <w:marBottom w:val="0"/>
      <w:divBdr>
        <w:top w:val="none" w:sz="0" w:space="0" w:color="auto"/>
        <w:left w:val="none" w:sz="0" w:space="0" w:color="auto"/>
        <w:bottom w:val="none" w:sz="0" w:space="0" w:color="auto"/>
        <w:right w:val="none" w:sz="0" w:space="0" w:color="auto"/>
      </w:divBdr>
    </w:div>
    <w:div w:id="1126243833">
      <w:bodyDiv w:val="1"/>
      <w:marLeft w:val="0"/>
      <w:marRight w:val="0"/>
      <w:marTop w:val="0"/>
      <w:marBottom w:val="0"/>
      <w:divBdr>
        <w:top w:val="none" w:sz="0" w:space="0" w:color="auto"/>
        <w:left w:val="none" w:sz="0" w:space="0" w:color="auto"/>
        <w:bottom w:val="none" w:sz="0" w:space="0" w:color="auto"/>
        <w:right w:val="none" w:sz="0" w:space="0" w:color="auto"/>
      </w:divBdr>
    </w:div>
    <w:div w:id="1716663112">
      <w:bodyDiv w:val="1"/>
      <w:marLeft w:val="0"/>
      <w:marRight w:val="0"/>
      <w:marTop w:val="0"/>
      <w:marBottom w:val="0"/>
      <w:divBdr>
        <w:top w:val="none" w:sz="0" w:space="0" w:color="auto"/>
        <w:left w:val="none" w:sz="0" w:space="0" w:color="auto"/>
        <w:bottom w:val="none" w:sz="0" w:space="0" w:color="auto"/>
        <w:right w:val="none" w:sz="0" w:space="0" w:color="auto"/>
      </w:divBdr>
    </w:div>
    <w:div w:id="19046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B556-1EF4-834B-A7F1-AFD6780E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5121</Characters>
  <Application>Microsoft Office Word</Application>
  <DocSecurity>0</DocSecurity>
  <Lines>96</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 Hollander, Jo Monda</cp:lastModifiedBy>
  <cp:revision>5</cp:revision>
  <cp:lastPrinted>2025-12-13T04:16:00Z</cp:lastPrinted>
  <dcterms:created xsi:type="dcterms:W3CDTF">2026-02-05T11:48:00Z</dcterms:created>
  <dcterms:modified xsi:type="dcterms:W3CDTF">2026-02-06T10:44:00Z</dcterms:modified>
</cp:coreProperties>
</file>