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6BBD" w14:textId="7E49FB86" w:rsidR="00116AE3" w:rsidRPr="009B4785" w:rsidRDefault="00116AE3" w:rsidP="00116AE3">
      <w:pPr>
        <w:pStyle w:val="Heading1"/>
        <w:spacing w:before="0" w:after="0"/>
        <w:jc w:val="center"/>
        <w:rPr>
          <w:rFonts w:ascii="Calibri" w:hAnsi="Calibri"/>
          <w:b w:val="0"/>
          <w:bCs w:val="0"/>
          <w:sz w:val="28"/>
          <w:szCs w:val="28"/>
          <w:lang w:val="en-GB"/>
        </w:rPr>
      </w:pPr>
      <w:r w:rsidRPr="009B4785">
        <w:rPr>
          <w:rFonts w:ascii="Calibri" w:hAnsi="Calibri"/>
          <w:b w:val="0"/>
          <w:bCs w:val="0"/>
          <w:sz w:val="28"/>
          <w:szCs w:val="28"/>
          <w:lang w:val="en-GB"/>
        </w:rPr>
        <w:t>Concept Note for a Thematic Session on</w:t>
      </w:r>
    </w:p>
    <w:p w14:paraId="182FE00B" w14:textId="77777777" w:rsidR="00116AE3" w:rsidRPr="009B4785" w:rsidRDefault="00116AE3" w:rsidP="00116AE3">
      <w:pPr>
        <w:pStyle w:val="Heading1"/>
        <w:spacing w:before="0" w:after="0"/>
        <w:jc w:val="center"/>
        <w:rPr>
          <w:sz w:val="36"/>
          <w:szCs w:val="36"/>
          <w:lang w:val="en-GB"/>
        </w:rPr>
      </w:pPr>
    </w:p>
    <w:p w14:paraId="432472B4" w14:textId="53952443" w:rsidR="00EE0A0E" w:rsidRPr="00EE0A0E" w:rsidRDefault="00EE0A0E" w:rsidP="00EE0A0E">
      <w:pPr>
        <w:spacing w:before="200"/>
        <w:jc w:val="center"/>
        <w:rPr>
          <w:rFonts w:ascii="Cera Pro" w:eastAsia="Times New Roman" w:hAnsi="Cera Pro" w:cs="Times New Roman"/>
          <w:b/>
          <w:bCs/>
          <w:color w:val="ED7D31" w:themeColor="accent2"/>
          <w:kern w:val="36"/>
          <w:sz w:val="40"/>
          <w:szCs w:val="40"/>
          <w:lang w:val="en-GB" w:eastAsia="fr-FR"/>
        </w:rPr>
      </w:pPr>
      <w:r w:rsidRPr="00EE0A0E">
        <w:rPr>
          <w:rFonts w:ascii="Cera Pro" w:eastAsia="Times New Roman" w:hAnsi="Cera Pro" w:cs="Times New Roman"/>
          <w:b/>
          <w:bCs/>
          <w:color w:val="ED7D31" w:themeColor="accent2"/>
          <w:kern w:val="36"/>
          <w:sz w:val="40"/>
          <w:szCs w:val="40"/>
          <w:lang w:val="en-GB" w:eastAsia="fr-FR"/>
        </w:rPr>
        <w:t>D</w:t>
      </w:r>
      <w:r w:rsidR="00A24A74">
        <w:rPr>
          <w:rFonts w:ascii="Cera Pro" w:eastAsia="Times New Roman" w:hAnsi="Cera Pro" w:cs="Times New Roman"/>
          <w:b/>
          <w:bCs/>
          <w:color w:val="ED7D31" w:themeColor="accent2"/>
          <w:kern w:val="36"/>
          <w:sz w:val="40"/>
          <w:szCs w:val="40"/>
          <w:lang w:val="en-GB" w:eastAsia="fr-FR"/>
        </w:rPr>
        <w:t>ecent</w:t>
      </w:r>
      <w:r w:rsidRPr="00EE0A0E">
        <w:rPr>
          <w:rFonts w:ascii="Cera Pro" w:eastAsia="Times New Roman" w:hAnsi="Cera Pro" w:cs="Times New Roman"/>
          <w:b/>
          <w:bCs/>
          <w:color w:val="ED7D31" w:themeColor="accent2"/>
          <w:kern w:val="36"/>
          <w:sz w:val="40"/>
          <w:szCs w:val="40"/>
          <w:lang w:val="en-GB" w:eastAsia="fr-FR"/>
        </w:rPr>
        <w:t xml:space="preserve"> W</w:t>
      </w:r>
      <w:r w:rsidR="00A24A74">
        <w:rPr>
          <w:rFonts w:ascii="Cera Pro" w:eastAsia="Times New Roman" w:hAnsi="Cera Pro" w:cs="Times New Roman"/>
          <w:b/>
          <w:bCs/>
          <w:color w:val="ED7D31" w:themeColor="accent2"/>
          <w:kern w:val="36"/>
          <w:sz w:val="40"/>
          <w:szCs w:val="40"/>
          <w:lang w:val="en-GB" w:eastAsia="fr-FR"/>
        </w:rPr>
        <w:t>ork for Youth</w:t>
      </w:r>
    </w:p>
    <w:p w14:paraId="09032BCB" w14:textId="77777777" w:rsidR="00116AE3" w:rsidRPr="009B4785" w:rsidRDefault="00116AE3" w:rsidP="00116AE3">
      <w:pPr>
        <w:pStyle w:val="Heading1"/>
        <w:spacing w:after="0"/>
        <w:jc w:val="center"/>
        <w:rPr>
          <w:rFonts w:ascii="Calibri" w:hAnsi="Calibri"/>
          <w:b w:val="0"/>
          <w:bCs w:val="0"/>
          <w:sz w:val="28"/>
          <w:szCs w:val="28"/>
          <w:lang w:val="en-GB"/>
        </w:rPr>
      </w:pPr>
      <w:r w:rsidRPr="009B4785">
        <w:rPr>
          <w:rFonts w:ascii="Calibri" w:hAnsi="Calibri"/>
          <w:b w:val="0"/>
          <w:bCs w:val="0"/>
          <w:sz w:val="28"/>
          <w:szCs w:val="28"/>
          <w:lang w:val="en-GB"/>
        </w:rPr>
        <w:t>at the 6th Global Conference on the Elimination of Child Labour, Marrakech, Morocco</w:t>
      </w:r>
    </w:p>
    <w:p w14:paraId="59B3BF92" w14:textId="4D0D8D42" w:rsidR="00116AE3" w:rsidRPr="002D6A51" w:rsidRDefault="00116AE3" w:rsidP="00116AE3">
      <w:pPr>
        <w:pStyle w:val="Heading1"/>
        <w:spacing w:after="0"/>
        <w:jc w:val="center"/>
        <w:rPr>
          <w:rFonts w:ascii="Calibri" w:hAnsi="Calibri"/>
          <w:b w:val="0"/>
          <w:bCs w:val="0"/>
          <w:sz w:val="28"/>
          <w:szCs w:val="28"/>
          <w:lang w:val="fr-CH"/>
        </w:rPr>
      </w:pPr>
      <w:r w:rsidRPr="002D6A51">
        <w:rPr>
          <w:rFonts w:ascii="Calibri" w:hAnsi="Calibri"/>
          <w:b w:val="0"/>
          <w:bCs w:val="0"/>
          <w:sz w:val="28"/>
          <w:szCs w:val="28"/>
        </w:rPr>
        <w:t xml:space="preserve">Thursday, </w:t>
      </w:r>
      <w:proofErr w:type="spellStart"/>
      <w:r w:rsidRPr="002D6A51">
        <w:rPr>
          <w:rFonts w:ascii="Calibri" w:hAnsi="Calibri"/>
          <w:b w:val="0"/>
          <w:bCs w:val="0"/>
          <w:sz w:val="28"/>
          <w:szCs w:val="28"/>
        </w:rPr>
        <w:t>February</w:t>
      </w:r>
      <w:proofErr w:type="spellEnd"/>
      <w:r w:rsidRPr="002D6A51">
        <w:rPr>
          <w:rFonts w:ascii="Calibri" w:hAnsi="Calibri"/>
          <w:b w:val="0"/>
          <w:bCs w:val="0"/>
          <w:sz w:val="28"/>
          <w:szCs w:val="28"/>
        </w:rPr>
        <w:t xml:space="preserve"> 12, 2026 – </w:t>
      </w:r>
      <w:r w:rsidR="003C0CEC">
        <w:rPr>
          <w:rFonts w:ascii="Calibri" w:hAnsi="Calibri"/>
          <w:b w:val="0"/>
          <w:bCs w:val="0"/>
          <w:sz w:val="28"/>
          <w:szCs w:val="28"/>
        </w:rPr>
        <w:t>14</w:t>
      </w:r>
      <w:r w:rsidRPr="002D6A51">
        <w:rPr>
          <w:rFonts w:ascii="Calibri" w:hAnsi="Calibri"/>
          <w:b w:val="0"/>
          <w:bCs w:val="0"/>
          <w:sz w:val="28"/>
          <w:szCs w:val="28"/>
        </w:rPr>
        <w:t>.</w:t>
      </w:r>
      <w:r w:rsidR="003C0CEC">
        <w:rPr>
          <w:rFonts w:ascii="Calibri" w:hAnsi="Calibri"/>
          <w:b w:val="0"/>
          <w:bCs w:val="0"/>
          <w:sz w:val="28"/>
          <w:szCs w:val="28"/>
        </w:rPr>
        <w:t>30</w:t>
      </w:r>
      <w:r w:rsidRPr="002D6A51">
        <w:rPr>
          <w:rFonts w:ascii="Calibri" w:hAnsi="Calibri"/>
          <w:b w:val="0"/>
          <w:bCs w:val="0"/>
          <w:sz w:val="28"/>
          <w:szCs w:val="28"/>
        </w:rPr>
        <w:t xml:space="preserve"> to 1</w:t>
      </w:r>
      <w:r w:rsidR="003C0CEC">
        <w:rPr>
          <w:rFonts w:ascii="Calibri" w:hAnsi="Calibri"/>
          <w:b w:val="0"/>
          <w:bCs w:val="0"/>
          <w:sz w:val="28"/>
          <w:szCs w:val="28"/>
        </w:rPr>
        <w:t>6</w:t>
      </w:r>
      <w:r w:rsidRPr="002D6A51">
        <w:rPr>
          <w:rFonts w:ascii="Calibri" w:hAnsi="Calibri"/>
          <w:b w:val="0"/>
          <w:bCs w:val="0"/>
          <w:sz w:val="28"/>
          <w:szCs w:val="28"/>
        </w:rPr>
        <w:t>.</w:t>
      </w:r>
      <w:r w:rsidR="003C0CEC">
        <w:rPr>
          <w:rFonts w:ascii="Calibri" w:hAnsi="Calibri"/>
          <w:b w:val="0"/>
          <w:bCs w:val="0"/>
          <w:sz w:val="28"/>
          <w:szCs w:val="28"/>
        </w:rPr>
        <w:t>15</w:t>
      </w:r>
    </w:p>
    <w:p w14:paraId="25EC9584" w14:textId="77777777" w:rsidR="00116AE3" w:rsidRPr="00116AE3" w:rsidRDefault="00116AE3" w:rsidP="00116AE3">
      <w:pPr>
        <w:pStyle w:val="Heading2"/>
        <w:ind w:left="567" w:hanging="425"/>
        <w:rPr>
          <w:color w:val="ED7D31" w:themeColor="accent2"/>
          <w:sz w:val="36"/>
          <w:szCs w:val="32"/>
          <w:lang w:val="en-US"/>
        </w:rPr>
      </w:pPr>
      <w:r w:rsidRPr="00116AE3">
        <w:rPr>
          <w:color w:val="ED7D31" w:themeColor="accent2"/>
          <w:sz w:val="36"/>
          <w:szCs w:val="32"/>
        </w:rPr>
        <w:t xml:space="preserve">Background </w:t>
      </w:r>
    </w:p>
    <w:p w14:paraId="615E9123" w14:textId="77777777" w:rsidR="00B544AA" w:rsidRPr="00B544AA" w:rsidRDefault="00B544AA" w:rsidP="00B544AA">
      <w:pPr>
        <w:pStyle w:val="NormalWeb"/>
        <w:shd w:val="clear" w:color="auto" w:fill="FFFFFF"/>
        <w:spacing w:before="0" w:beforeAutospacing="0" w:after="0" w:afterAutospacing="0"/>
        <w:jc w:val="both"/>
        <w:rPr>
          <w:rFonts w:asciiTheme="minorHAnsi" w:eastAsiaTheme="minorHAnsi" w:hAnsiTheme="minorHAnsi" w:cstheme="minorBidi"/>
          <w:color w:val="006A66"/>
          <w:sz w:val="28"/>
          <w:lang w:val="en-GB" w:eastAsia="en-US"/>
        </w:rPr>
      </w:pPr>
      <w:r w:rsidRPr="00B544AA">
        <w:rPr>
          <w:rFonts w:asciiTheme="minorHAnsi" w:eastAsiaTheme="minorHAnsi" w:hAnsiTheme="minorHAnsi" w:cstheme="minorBidi"/>
          <w:color w:val="006A66"/>
          <w:sz w:val="28"/>
          <w:lang w:val="en-GB" w:eastAsia="en-US"/>
        </w:rPr>
        <w:t xml:space="preserve">Children aged 14–17 constitute a distinct and highly vulnerable cohort situated at the intersection of child labour and youth employment agendas. Ideally, they should remain in </w:t>
      </w:r>
      <w:proofErr w:type="gramStart"/>
      <w:r w:rsidRPr="00B544AA">
        <w:rPr>
          <w:rFonts w:asciiTheme="minorHAnsi" w:eastAsiaTheme="minorHAnsi" w:hAnsiTheme="minorHAnsi" w:cstheme="minorBidi"/>
          <w:color w:val="006A66"/>
          <w:sz w:val="28"/>
          <w:lang w:val="en-GB" w:eastAsia="en-US"/>
        </w:rPr>
        <w:t>school</w:t>
      </w:r>
      <w:proofErr w:type="gramEnd"/>
      <w:r w:rsidRPr="00B544AA">
        <w:rPr>
          <w:rFonts w:asciiTheme="minorHAnsi" w:eastAsiaTheme="minorHAnsi" w:hAnsiTheme="minorHAnsi" w:cstheme="minorBidi"/>
          <w:color w:val="006A66"/>
          <w:sz w:val="28"/>
          <w:lang w:val="en-GB" w:eastAsia="en-US"/>
        </w:rPr>
        <w:t xml:space="preserve"> but the reality is that many are already engaged in work, often hazardous, making it essential to address their specific needs through targeted and protective responses. Despite their significance, they remain a critical yet often overlooked group in global efforts to eliminate child labour. The latest ILO–UNICEF global estimates indicate that the 15-17 aged group accounts for the largest share of children in child labour in regions such as Asia-Pacific and Latin America and the Caribbean. </w:t>
      </w:r>
      <w:proofErr w:type="gramStart"/>
      <w:r w:rsidRPr="00B544AA">
        <w:rPr>
          <w:rFonts w:asciiTheme="minorHAnsi" w:eastAsiaTheme="minorHAnsi" w:hAnsiTheme="minorHAnsi" w:cstheme="minorBidi"/>
          <w:color w:val="006A66"/>
          <w:sz w:val="28"/>
          <w:lang w:val="en-GB" w:eastAsia="en-US"/>
        </w:rPr>
        <w:t>By definition, all</w:t>
      </w:r>
      <w:proofErr w:type="gramEnd"/>
      <w:r w:rsidRPr="00B544AA">
        <w:rPr>
          <w:rFonts w:asciiTheme="minorHAnsi" w:eastAsiaTheme="minorHAnsi" w:hAnsiTheme="minorHAnsi" w:cstheme="minorBidi"/>
          <w:color w:val="006A66"/>
          <w:sz w:val="28"/>
          <w:lang w:val="en-GB" w:eastAsia="en-US"/>
        </w:rPr>
        <w:t xml:space="preserve"> children in child labour aged 15–17 are engaged in hazardous work, exposing them to elevated occupational safety and health (OSH) risks. Their physical, cognitive and emotional immaturity heightens susceptibility to injury and ill-health, with consequences that may be both immediate and long-term. In addition, access to tailored mental health and psychosocial support remains scarce.</w:t>
      </w:r>
    </w:p>
    <w:p w14:paraId="03F2D78A" w14:textId="77777777" w:rsidR="00B544AA" w:rsidRPr="00B544AA" w:rsidRDefault="00B544AA" w:rsidP="00B544AA">
      <w:pPr>
        <w:pStyle w:val="NormalWeb"/>
        <w:jc w:val="both"/>
        <w:rPr>
          <w:rFonts w:asciiTheme="minorHAnsi" w:eastAsiaTheme="minorHAnsi" w:hAnsiTheme="minorHAnsi" w:cstheme="minorBidi"/>
          <w:color w:val="006A66"/>
          <w:sz w:val="28"/>
          <w:lang w:val="en-GB" w:eastAsia="en-US"/>
        </w:rPr>
      </w:pPr>
      <w:r w:rsidRPr="00B544AA">
        <w:rPr>
          <w:rFonts w:asciiTheme="minorHAnsi" w:eastAsiaTheme="minorHAnsi" w:hAnsiTheme="minorHAnsi" w:cstheme="minorBidi"/>
          <w:color w:val="006A66"/>
          <w:sz w:val="28"/>
          <w:lang w:val="en-GB" w:eastAsia="en-US"/>
        </w:rPr>
        <w:t>Child labour among adolescents also carries a substantial educational cost. Global estimates show that 60 per cent of this age group are out of school, compared with just 14 per cent of their non–child labour peers, significantly undermining their skills development and future employability. Where work-based learning or apprenticeship opportunities exist, they are frequently informal, weakly regulated and of uneven quality, offering limited protection and few credible pathways toward decent work.</w:t>
      </w:r>
    </w:p>
    <w:p w14:paraId="16438B39" w14:textId="77777777" w:rsidR="00B544AA" w:rsidRPr="00B544AA" w:rsidRDefault="00B544AA" w:rsidP="00B544AA">
      <w:pPr>
        <w:pStyle w:val="NormalWeb"/>
        <w:jc w:val="both"/>
        <w:rPr>
          <w:rFonts w:asciiTheme="minorHAnsi" w:eastAsiaTheme="minorHAnsi" w:hAnsiTheme="minorHAnsi" w:cstheme="minorBidi"/>
          <w:color w:val="006A66"/>
          <w:sz w:val="28"/>
          <w:lang w:val="en-GB" w:eastAsia="en-US"/>
        </w:rPr>
      </w:pPr>
      <w:r w:rsidRPr="00B544AA">
        <w:rPr>
          <w:rFonts w:asciiTheme="minorHAnsi" w:eastAsiaTheme="minorHAnsi" w:hAnsiTheme="minorHAnsi" w:cstheme="minorBidi"/>
          <w:color w:val="006A66"/>
          <w:sz w:val="28"/>
          <w:lang w:val="en-GB" w:eastAsia="en-US"/>
        </w:rPr>
        <w:t>Adolescents of legal working age further face restricted access to social protection, workers’ organizations and social dialogue mechanisms, resulting in limited representation and weak collective voice. These challenges are compounded by the absence or incomplete operationalization of national hazardous work lists, which undermines prevention and enforcement by leaving dangerous tasks insufficiently identified and regulated.</w:t>
      </w:r>
    </w:p>
    <w:p w14:paraId="3840C520" w14:textId="59103D6C" w:rsidR="00B544AA" w:rsidRPr="001D4041" w:rsidRDefault="00B544AA" w:rsidP="00B544AA">
      <w:pPr>
        <w:spacing w:before="100" w:beforeAutospacing="1" w:after="100" w:afterAutospacing="1"/>
        <w:jc w:val="both"/>
        <w:rPr>
          <w:color w:val="006A66"/>
          <w:sz w:val="28"/>
          <w:lang w:val="en-GB"/>
        </w:rPr>
      </w:pPr>
      <w:r w:rsidRPr="00B544AA">
        <w:rPr>
          <w:color w:val="006A66"/>
          <w:sz w:val="28"/>
          <w:lang w:val="en-GB"/>
        </w:rPr>
        <w:lastRenderedPageBreak/>
        <w:t>Access to structured employment pathways is constrained and systemic gaps weaken safe transition pathways for this age group. Policies and programmes often fail to give adolescents of this group sufficient, targeted attention, leaving their specific needs and risks inadequately addressed. Youth employment opportunity assessments also tend to overlook this cohort’s realities, which limits the identification of viable alternatives to hazardous work. In addition, coordination among key stakeholders, including authorities (labour and employment, youth, TVET and skills, youth development and other sectoral institutions), employers’ and workers’ organizations, youth associations and development partners, remains insufficient and reduces the reach and impact of support measures. Consequently, there is a persistent mismatch between the skills provided and the evolving needs of the labour market, leaving many young people ill-prepared for available and emerging employment opportunities</w:t>
      </w:r>
      <w:r w:rsidRPr="001D4041">
        <w:rPr>
          <w:color w:val="006A66"/>
          <w:sz w:val="28"/>
          <w:lang w:val="en-GB"/>
        </w:rPr>
        <w:t>.</w:t>
      </w:r>
      <w:r w:rsidR="001D4041" w:rsidRPr="001D4041">
        <w:rPr>
          <w:color w:val="006A66"/>
          <w:sz w:val="28"/>
          <w:lang w:val="en-GB"/>
        </w:rPr>
        <w:t xml:space="preserve"> It can apply to both </w:t>
      </w:r>
      <w:r w:rsidR="001D4041">
        <w:rPr>
          <w:color w:val="006A66"/>
          <w:sz w:val="28"/>
          <w:lang w:val="en-GB"/>
        </w:rPr>
        <w:t>wage</w:t>
      </w:r>
      <w:r w:rsidR="001D4041" w:rsidRPr="001D4041">
        <w:rPr>
          <w:color w:val="006A66"/>
          <w:sz w:val="28"/>
          <w:lang w:val="en-GB"/>
        </w:rPr>
        <w:t xml:space="preserve"> and self-employment</w:t>
      </w:r>
      <w:r w:rsidR="00367C6F">
        <w:rPr>
          <w:color w:val="006A66"/>
          <w:sz w:val="28"/>
          <w:lang w:val="en-GB"/>
        </w:rPr>
        <w:t>/entrepreneurship</w:t>
      </w:r>
      <w:r w:rsidR="001D4041" w:rsidRPr="001D4041">
        <w:rPr>
          <w:color w:val="006A66"/>
          <w:sz w:val="28"/>
          <w:lang w:val="en-GB"/>
        </w:rPr>
        <w:t>.</w:t>
      </w:r>
    </w:p>
    <w:p w14:paraId="27D7380A" w14:textId="77777777" w:rsidR="00B544AA" w:rsidRPr="00B544AA" w:rsidRDefault="00B544AA" w:rsidP="00B544AA">
      <w:pPr>
        <w:spacing w:before="100" w:beforeAutospacing="1" w:after="100" w:afterAutospacing="1"/>
        <w:jc w:val="both"/>
        <w:rPr>
          <w:color w:val="006A66"/>
          <w:sz w:val="28"/>
          <w:lang w:val="en-GB"/>
        </w:rPr>
      </w:pPr>
      <w:r w:rsidRPr="00B544AA">
        <w:rPr>
          <w:color w:val="006A66"/>
          <w:sz w:val="28"/>
          <w:lang w:val="en-GB"/>
        </w:rPr>
        <w:t>Finally, community-level efforts frequently fall short in addressing livelihood insecurity among vulnerable families, perpetuating reliance on child labour.</w:t>
      </w:r>
    </w:p>
    <w:p w14:paraId="7D45D82E" w14:textId="77777777" w:rsidR="00B544AA" w:rsidRPr="00B544AA" w:rsidRDefault="00B544AA" w:rsidP="00B544AA">
      <w:pPr>
        <w:pStyle w:val="NormalWeb"/>
        <w:jc w:val="both"/>
        <w:rPr>
          <w:rFonts w:asciiTheme="minorHAnsi" w:eastAsiaTheme="minorHAnsi" w:hAnsiTheme="minorHAnsi" w:cstheme="minorBidi"/>
          <w:color w:val="006A66"/>
          <w:sz w:val="28"/>
          <w:lang w:val="en-GB" w:eastAsia="en-US"/>
        </w:rPr>
      </w:pPr>
      <w:r w:rsidRPr="00B544AA">
        <w:rPr>
          <w:rFonts w:asciiTheme="minorHAnsi" w:eastAsiaTheme="minorHAnsi" w:hAnsiTheme="minorHAnsi" w:cstheme="minorBidi"/>
          <w:color w:val="006A66"/>
          <w:sz w:val="28"/>
          <w:lang w:val="en-GB" w:eastAsia="en-US"/>
        </w:rPr>
        <w:t>Against this backdrop, the panel session responds to the need for focused global dialogue on how to effectively move legal working-age children out of hazardous work and into safe, inclusive and productive pathways toward decent work.</w:t>
      </w:r>
    </w:p>
    <w:p w14:paraId="2E2C52D7" w14:textId="44D2F920" w:rsidR="00116AE3" w:rsidRDefault="00116AE3" w:rsidP="00116AE3">
      <w:pPr>
        <w:pStyle w:val="Heading2"/>
        <w:ind w:left="567" w:hanging="283"/>
        <w:rPr>
          <w:color w:val="ED7D31" w:themeColor="accent2"/>
          <w:sz w:val="36"/>
          <w:szCs w:val="32"/>
        </w:rPr>
      </w:pPr>
      <w:r w:rsidRPr="00116AE3">
        <w:rPr>
          <w:color w:val="ED7D31" w:themeColor="accent2"/>
          <w:sz w:val="36"/>
          <w:szCs w:val="32"/>
        </w:rPr>
        <w:t xml:space="preserve">Issues </w:t>
      </w:r>
      <w:proofErr w:type="spellStart"/>
      <w:r w:rsidR="00613558">
        <w:rPr>
          <w:color w:val="ED7D31" w:themeColor="accent2"/>
          <w:sz w:val="36"/>
          <w:szCs w:val="32"/>
        </w:rPr>
        <w:t>a</w:t>
      </w:r>
      <w:r w:rsidRPr="00116AE3">
        <w:rPr>
          <w:color w:val="ED7D31" w:themeColor="accent2"/>
          <w:sz w:val="36"/>
          <w:szCs w:val="32"/>
        </w:rPr>
        <w:t>ddressed</w:t>
      </w:r>
      <w:proofErr w:type="spellEnd"/>
      <w:r w:rsidRPr="00116AE3">
        <w:rPr>
          <w:color w:val="ED7D31" w:themeColor="accent2"/>
          <w:sz w:val="36"/>
          <w:szCs w:val="32"/>
        </w:rPr>
        <w:t xml:space="preserve"> </w:t>
      </w:r>
    </w:p>
    <w:p w14:paraId="1B8CD979" w14:textId="2282F1F6" w:rsidR="00327D16" w:rsidRPr="00327D16" w:rsidRDefault="00327D16" w:rsidP="00327D16">
      <w:pPr>
        <w:rPr>
          <w:color w:val="006A66"/>
          <w:sz w:val="28"/>
          <w:lang w:val="en-GB"/>
        </w:rPr>
      </w:pPr>
      <w:r w:rsidRPr="00327D16">
        <w:rPr>
          <w:color w:val="006A66"/>
          <w:sz w:val="28"/>
          <w:lang w:val="en-GB"/>
        </w:rPr>
        <w:t xml:space="preserve">The session will examine the interconnected challenges faced by adolescents of legal working age, including those exposed to hazardous work amid fragile school-to-work transitions. It will explore gaps in protection, regulation and enforcement, particularly around hazardous work lists, occupational safety and health (OSH) systems, as well as weaknesses in policy coherence between child labour, youth employment </w:t>
      </w:r>
      <w:r w:rsidR="00F302FA">
        <w:rPr>
          <w:color w:val="006A66"/>
          <w:sz w:val="28"/>
          <w:lang w:val="en-GB"/>
        </w:rPr>
        <w:t>including</w:t>
      </w:r>
      <w:r w:rsidRPr="00327D16">
        <w:rPr>
          <w:color w:val="006A66"/>
          <w:sz w:val="28"/>
          <w:lang w:val="en-GB"/>
        </w:rPr>
        <w:t xml:space="preserve"> entrepreneurship, which lead to unsafe, low-quality apprenticeships and poorly supported self-employment and enterprise pathways.</w:t>
      </w:r>
      <w:r w:rsidR="002633AF">
        <w:rPr>
          <w:color w:val="006A66"/>
          <w:sz w:val="28"/>
          <w:lang w:val="en-GB"/>
        </w:rPr>
        <w:t xml:space="preserve"> Moreover, it </w:t>
      </w:r>
      <w:r w:rsidRPr="00327D16">
        <w:rPr>
          <w:color w:val="006A66"/>
          <w:sz w:val="28"/>
          <w:lang w:val="en-GB"/>
        </w:rPr>
        <w:t xml:space="preserve">will </w:t>
      </w:r>
      <w:r w:rsidR="00072991">
        <w:rPr>
          <w:color w:val="006A66"/>
          <w:sz w:val="28"/>
          <w:lang w:val="en-GB"/>
        </w:rPr>
        <w:t xml:space="preserve">also </w:t>
      </w:r>
      <w:r w:rsidRPr="00327D16">
        <w:rPr>
          <w:color w:val="006A66"/>
          <w:sz w:val="28"/>
          <w:lang w:val="en-GB"/>
        </w:rPr>
        <w:t xml:space="preserve">highlight good practices, lessons learned and recommendations from existing integrated youth-support policies and mechanisms, combining social reintegration, rights protection, entrepreneurship support and continuous guidance from identification and training through to </w:t>
      </w:r>
      <w:r w:rsidR="007020B3">
        <w:rPr>
          <w:color w:val="006A66"/>
          <w:sz w:val="28"/>
          <w:lang w:val="en-GB"/>
        </w:rPr>
        <w:t>wage or</w:t>
      </w:r>
      <w:r w:rsidRPr="00327D16">
        <w:rPr>
          <w:color w:val="006A66"/>
          <w:sz w:val="28"/>
          <w:lang w:val="en-GB"/>
        </w:rPr>
        <w:t xml:space="preserve"> self-employment and professional development. It will also address adolescents’ limited voice, rights awareness and access to referral and protection mechanisms, especially for girls, alongside the role of household poverty, community norms and livelihood vulnerabilities in pushing young people into hazardous work or survival-based self-employment.</w:t>
      </w:r>
    </w:p>
    <w:p w14:paraId="057FAAA9" w14:textId="77777777" w:rsidR="00327D16" w:rsidRPr="00327D16" w:rsidRDefault="00327D16" w:rsidP="00327D16">
      <w:pPr>
        <w:rPr>
          <w:color w:val="006A66"/>
          <w:sz w:val="28"/>
          <w:lang w:val="en-GB"/>
        </w:rPr>
      </w:pPr>
    </w:p>
    <w:p w14:paraId="5866F967" w14:textId="5B12102C" w:rsidR="00776F04" w:rsidRPr="00E50CD3" w:rsidRDefault="00327D16" w:rsidP="00327D16">
      <w:pPr>
        <w:rPr>
          <w:color w:val="006A66"/>
          <w:sz w:val="28"/>
          <w:lang w:val="en-GB"/>
        </w:rPr>
      </w:pPr>
      <w:r w:rsidRPr="00327D16">
        <w:rPr>
          <w:color w:val="006A66"/>
          <w:sz w:val="28"/>
          <w:lang w:val="en-GB"/>
        </w:rPr>
        <w:t>Together, these issues frame how to build coherent, inclusive and protective safe transition pathways to decent work and sustainable entrepreneurship for adolescents of legal working age.</w:t>
      </w:r>
    </w:p>
    <w:sectPr w:rsidR="00776F04" w:rsidRPr="00E50CD3" w:rsidSect="00116AE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EEE71" w14:textId="77777777" w:rsidR="00AF1FF2" w:rsidRDefault="00AF1FF2" w:rsidP="003F14C5">
      <w:r>
        <w:separator/>
      </w:r>
    </w:p>
  </w:endnote>
  <w:endnote w:type="continuationSeparator" w:id="0">
    <w:p w14:paraId="4B8DFCCF" w14:textId="77777777" w:rsidR="00AF1FF2" w:rsidRDefault="00AF1FF2" w:rsidP="003F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ra Pro">
    <w:altName w:val="Calibri"/>
    <w:panose1 w:val="00000000000000000000"/>
    <w:charset w:val="00"/>
    <w:family w:val="auto"/>
    <w:notTrueType/>
    <w:pitch w:val="variable"/>
    <w:sig w:usb0="00000287" w:usb1="00000001"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28DC" w14:textId="77777777" w:rsidR="003F14C5" w:rsidRPr="00320E73" w:rsidRDefault="00320E73" w:rsidP="00320E73">
    <w:pPr>
      <w:pStyle w:val="Footer"/>
      <w:jc w:val="right"/>
      <w:rPr>
        <w:caps/>
        <w:color w:val="006A66"/>
      </w:rPr>
    </w:pPr>
    <w:r w:rsidRPr="00320E73">
      <w:rPr>
        <w:noProof/>
        <w:color w:val="006A66"/>
      </w:rPr>
      <mc:AlternateContent>
        <mc:Choice Requires="wps">
          <w:drawing>
            <wp:anchor distT="0" distB="0" distL="114300" distR="114300" simplePos="0" relativeHeight="251660288" behindDoc="0" locked="0" layoutInCell="1" allowOverlap="1" wp14:anchorId="569EB848" wp14:editId="22107F85">
              <wp:simplePos x="0" y="0"/>
              <wp:positionH relativeFrom="column">
                <wp:posOffset>3397822</wp:posOffset>
              </wp:positionH>
              <wp:positionV relativeFrom="paragraph">
                <wp:posOffset>171450</wp:posOffset>
              </wp:positionV>
              <wp:extent cx="2196000" cy="0"/>
              <wp:effectExtent l="0" t="0" r="13970" b="12700"/>
              <wp:wrapNone/>
              <wp:docPr id="6" name="Connecteur droit 6"/>
              <wp:cNvGraphicFramePr/>
              <a:graphic xmlns:a="http://schemas.openxmlformats.org/drawingml/2006/main">
                <a:graphicData uri="http://schemas.microsoft.com/office/word/2010/wordprocessingShape">
                  <wps:wsp>
                    <wps:cNvCnPr/>
                    <wps:spPr>
                      <a:xfrm>
                        <a:off x="0" y="0"/>
                        <a:ext cx="2196000" cy="0"/>
                      </a:xfrm>
                      <a:prstGeom prst="line">
                        <a:avLst/>
                      </a:prstGeom>
                      <a:ln w="3175">
                        <a:solidFill>
                          <a:srgbClr val="006A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Connecteur droit 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006a66"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GL2QEAAAsEAAAOAAAAZHJzL2Uyb0RvYy54bWysU9uO0zAQfUfiHyy/0yRFBIiarlBXywuC&#10;ioUPcJ1xa8k3jb1N+/eMnTa7AiS0K16cjGfOmTnH9urmZA07AkbtXc+bRc0ZOOkH7fY9//nj7s0H&#10;zmISbhDGO+j5GSK/Wb9+tRpDB0t/8GYAZETiYjeGnh9SCl1VRXkAK+LCB3CUVB6tSBTivhpQjMRu&#10;TbWs67YaPQ4BvYQYafd2SvJ14VcKZPqmVITETM9ptlRWLOsur9V6Jbo9inDQ8jKGeMEUVmhHTWeq&#10;W5EEe0D9B5XVEn30Ki2kt5VXSksoGkhNU/+m5v4gAhQtZE4Ms03x/9HKr8ctMj30vOXMCUtHtPHO&#10;kW/wgGxArxNrs0tjiB0Vb9wWL1EMW8ySTwpt/pIYdirOnmdn4ZSYpM1l87GtazoAec1Vj8CAMX0G&#10;b1n+6bnRLosWnTh+iYmaUem1JG8bx8aev23evytV0Rs93Gljci7ifrcxyI4in3fdfmrL8MTwpIwi&#10;44g2S5pElL90NjDxfwdFltDYzdQhX0aYaYWU4FKTTSlMVJ1hikaYgfW/gZf6DIVyUZ8DnhGls3dp&#10;BlvtPP6tezpdR1ZT/dWBSXe2YOeHczneYg3duKLw8jrylX4aF/jjG17/AgAA//8DAFBLAwQUAAYA&#10;CAAAACEAsCrifuIAAAAOAQAADwAAAGRycy9kb3ducmV2LnhtbEyPT0+EQAzF7yZ+h0lNvLkDa1Bk&#10;GTbGf8leTBZN9jowXUCZDmFmAb+9NR700qTt6+v75dvF9mLC0XeOFMSrCARS7UxHjYL3t+erFIQP&#10;mozuHaGCL/SwLc7Pcp0ZN9MepzI0gk3IZ1pBG8KQSenrFq32Kzcg8e7oRqsDt2MjzahnNre9XEfR&#10;jbS6I/7Q6gEfWqw/y5NVML2mh4+n+WVwu/hY7Z1JyoPdKXV5sTxuuNxvQARcwt8F/DBwfig4WOVO&#10;ZLzoFSTXScxSBetbBmNBmkZ3IKrfgSxy+R+j+AYAAP//AwBQSwECLQAUAAYACAAAACEAtoM4kv4A&#10;AADhAQAAEwAAAAAAAAAAAAAAAAAAAAAAW0NvbnRlbnRfVHlwZXNdLnhtbFBLAQItABQABgAIAAAA&#10;IQA4/SH/1gAAAJQBAAALAAAAAAAAAAAAAAAAAC8BAABfcmVscy8ucmVsc1BLAQItABQABgAIAAAA&#10;IQBlgEGL2QEAAAsEAAAOAAAAAAAAAAAAAAAAAC4CAABkcnMvZTJvRG9jLnhtbFBLAQItABQABgAI&#10;AAAAIQCwKuJ+4gAAAA4BAAAPAAAAAAAAAAAAAAAAADMEAABkcnMvZG93bnJldi54bWxQSwUGAAAA&#10;AAQABADzAAAAQgUAAAAA&#10;" from="267.55pt,13.5pt" to="440.45pt,13.5pt" w14:anchorId="1CDC055C">
              <v:stroke joinstyle="miter"/>
            </v:line>
          </w:pict>
        </mc:Fallback>
      </mc:AlternateContent>
    </w:r>
    <w:r w:rsidR="003F14C5" w:rsidRPr="00320E73">
      <w:rPr>
        <w:caps/>
        <w:color w:val="006A66"/>
      </w:rPr>
      <w:fldChar w:fldCharType="begin"/>
    </w:r>
    <w:r w:rsidR="003F14C5" w:rsidRPr="00320E73">
      <w:rPr>
        <w:caps/>
        <w:color w:val="006A66"/>
      </w:rPr>
      <w:instrText>PAGE   \* MERGEFORMAT</w:instrText>
    </w:r>
    <w:r w:rsidR="003F14C5" w:rsidRPr="00320E73">
      <w:rPr>
        <w:caps/>
        <w:color w:val="006A66"/>
      </w:rPr>
      <w:fldChar w:fldCharType="separate"/>
    </w:r>
    <w:r w:rsidR="003F14C5" w:rsidRPr="00320E73">
      <w:rPr>
        <w:caps/>
        <w:color w:val="006A66"/>
      </w:rPr>
      <w:t>2</w:t>
    </w:r>
    <w:r w:rsidR="003F14C5" w:rsidRPr="00320E73">
      <w:rPr>
        <w:caps/>
        <w:color w:val="006A66"/>
      </w:rPr>
      <w:fldChar w:fldCharType="end"/>
    </w:r>
  </w:p>
  <w:p w14:paraId="418A5378" w14:textId="77777777" w:rsidR="003F14C5" w:rsidRDefault="003F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12B86" w14:textId="77777777" w:rsidR="00AF1FF2" w:rsidRDefault="00AF1FF2" w:rsidP="003F14C5">
      <w:r>
        <w:separator/>
      </w:r>
    </w:p>
  </w:footnote>
  <w:footnote w:type="continuationSeparator" w:id="0">
    <w:p w14:paraId="483332FC" w14:textId="77777777" w:rsidR="00AF1FF2" w:rsidRDefault="00AF1FF2" w:rsidP="003F1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B870" w14:textId="77777777" w:rsidR="003F14C5" w:rsidRPr="003B7005" w:rsidRDefault="001C299A" w:rsidP="003B7005">
    <w:pPr>
      <w:pStyle w:val="Header"/>
    </w:pPr>
    <w:r>
      <w:rPr>
        <w:noProof/>
      </w:rPr>
      <w:drawing>
        <wp:anchor distT="0" distB="0" distL="114300" distR="114300" simplePos="0" relativeHeight="251661312" behindDoc="1" locked="0" layoutInCell="1" allowOverlap="1" wp14:anchorId="3EB00374" wp14:editId="018140C7">
          <wp:simplePos x="0" y="0"/>
          <wp:positionH relativeFrom="column">
            <wp:posOffset>-892239</wp:posOffset>
          </wp:positionH>
          <wp:positionV relativeFrom="paragraph">
            <wp:posOffset>-442024</wp:posOffset>
          </wp:positionV>
          <wp:extent cx="7541911" cy="10667747"/>
          <wp:effectExtent l="0" t="0" r="1905"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546073" cy="106736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2CEE"/>
    <w:multiLevelType w:val="hybridMultilevel"/>
    <w:tmpl w:val="BDA029AC"/>
    <w:lvl w:ilvl="0" w:tplc="5880B324">
      <w:start w:val="1"/>
      <w:numFmt w:val="upperRoman"/>
      <w:pStyle w:val="Heading2"/>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1D92890"/>
    <w:multiLevelType w:val="hybridMultilevel"/>
    <w:tmpl w:val="F15E4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C8121B"/>
    <w:multiLevelType w:val="hybridMultilevel"/>
    <w:tmpl w:val="B33816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046328"/>
    <w:multiLevelType w:val="multilevel"/>
    <w:tmpl w:val="F2E87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666022F"/>
    <w:multiLevelType w:val="hybridMultilevel"/>
    <w:tmpl w:val="D8D2909E"/>
    <w:lvl w:ilvl="0" w:tplc="2FFC56E8">
      <w:start w:val="1"/>
      <w:numFmt w:val="bullet"/>
      <w:pStyle w:val="Heading4"/>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B307F9"/>
    <w:multiLevelType w:val="hybridMultilevel"/>
    <w:tmpl w:val="E0B4F1FA"/>
    <w:lvl w:ilvl="0" w:tplc="87AEB636">
      <w:start w:val="1"/>
      <w:numFmt w:val="decimal"/>
      <w:pStyle w:val="Heading3"/>
      <w:lvlText w:val="%1."/>
      <w:lvlJc w:val="left"/>
      <w:pPr>
        <w:ind w:left="717"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8015919">
    <w:abstractNumId w:val="2"/>
  </w:num>
  <w:num w:numId="2" w16cid:durableId="1906603929">
    <w:abstractNumId w:val="1"/>
  </w:num>
  <w:num w:numId="3" w16cid:durableId="1595361890">
    <w:abstractNumId w:val="0"/>
  </w:num>
  <w:num w:numId="4" w16cid:durableId="951396683">
    <w:abstractNumId w:val="5"/>
  </w:num>
  <w:num w:numId="5" w16cid:durableId="1596747021">
    <w:abstractNumId w:val="3"/>
  </w:num>
  <w:num w:numId="6" w16cid:durableId="1927575323">
    <w:abstractNumId w:val="4"/>
  </w:num>
  <w:num w:numId="7" w16cid:durableId="189488970">
    <w:abstractNumId w:val="0"/>
  </w:num>
  <w:num w:numId="8" w16cid:durableId="1480540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D2"/>
    <w:rsid w:val="00031D75"/>
    <w:rsid w:val="000408F6"/>
    <w:rsid w:val="000469B8"/>
    <w:rsid w:val="00072991"/>
    <w:rsid w:val="000D4FD8"/>
    <w:rsid w:val="00106E49"/>
    <w:rsid w:val="00112680"/>
    <w:rsid w:val="00116AE3"/>
    <w:rsid w:val="001453A8"/>
    <w:rsid w:val="00161B45"/>
    <w:rsid w:val="00172DB3"/>
    <w:rsid w:val="00191DB6"/>
    <w:rsid w:val="00193155"/>
    <w:rsid w:val="001A0BCF"/>
    <w:rsid w:val="001B08F6"/>
    <w:rsid w:val="001C299A"/>
    <w:rsid w:val="001C6E16"/>
    <w:rsid w:val="001D4041"/>
    <w:rsid w:val="001F2F48"/>
    <w:rsid w:val="00226FBC"/>
    <w:rsid w:val="002633AF"/>
    <w:rsid w:val="00292D94"/>
    <w:rsid w:val="002A04EF"/>
    <w:rsid w:val="002E036B"/>
    <w:rsid w:val="0031300D"/>
    <w:rsid w:val="00320E73"/>
    <w:rsid w:val="00322A3C"/>
    <w:rsid w:val="00327D16"/>
    <w:rsid w:val="00336822"/>
    <w:rsid w:val="00361FC7"/>
    <w:rsid w:val="00367C6F"/>
    <w:rsid w:val="003735C1"/>
    <w:rsid w:val="003A21AB"/>
    <w:rsid w:val="003A4B63"/>
    <w:rsid w:val="003B7005"/>
    <w:rsid w:val="003C0CEC"/>
    <w:rsid w:val="003E0F9D"/>
    <w:rsid w:val="003F14C5"/>
    <w:rsid w:val="00400DED"/>
    <w:rsid w:val="0042535A"/>
    <w:rsid w:val="00451E32"/>
    <w:rsid w:val="004615B4"/>
    <w:rsid w:val="004D4D19"/>
    <w:rsid w:val="004F6974"/>
    <w:rsid w:val="00511C71"/>
    <w:rsid w:val="00517C95"/>
    <w:rsid w:val="00535283"/>
    <w:rsid w:val="005D1B95"/>
    <w:rsid w:val="00611390"/>
    <w:rsid w:val="00612BC3"/>
    <w:rsid w:val="00613558"/>
    <w:rsid w:val="00632B80"/>
    <w:rsid w:val="00633860"/>
    <w:rsid w:val="0063633D"/>
    <w:rsid w:val="00655DC9"/>
    <w:rsid w:val="00662820"/>
    <w:rsid w:val="00685DC4"/>
    <w:rsid w:val="006D2439"/>
    <w:rsid w:val="007020B3"/>
    <w:rsid w:val="00711690"/>
    <w:rsid w:val="00715E49"/>
    <w:rsid w:val="007177AB"/>
    <w:rsid w:val="00731442"/>
    <w:rsid w:val="00753C50"/>
    <w:rsid w:val="00776F04"/>
    <w:rsid w:val="00785C4D"/>
    <w:rsid w:val="007904BA"/>
    <w:rsid w:val="00795609"/>
    <w:rsid w:val="007B2EC3"/>
    <w:rsid w:val="007B3EEC"/>
    <w:rsid w:val="007E0A57"/>
    <w:rsid w:val="008448E4"/>
    <w:rsid w:val="00851A97"/>
    <w:rsid w:val="008567E6"/>
    <w:rsid w:val="00866A5D"/>
    <w:rsid w:val="008769C3"/>
    <w:rsid w:val="008B2A2D"/>
    <w:rsid w:val="008E4344"/>
    <w:rsid w:val="008F1301"/>
    <w:rsid w:val="00962978"/>
    <w:rsid w:val="00965D50"/>
    <w:rsid w:val="009B4785"/>
    <w:rsid w:val="009D3B02"/>
    <w:rsid w:val="00A24A74"/>
    <w:rsid w:val="00A36C83"/>
    <w:rsid w:val="00A4134F"/>
    <w:rsid w:val="00AA0AF8"/>
    <w:rsid w:val="00AE0240"/>
    <w:rsid w:val="00AF1FF2"/>
    <w:rsid w:val="00B0572B"/>
    <w:rsid w:val="00B126DD"/>
    <w:rsid w:val="00B13886"/>
    <w:rsid w:val="00B544AA"/>
    <w:rsid w:val="00B63C5F"/>
    <w:rsid w:val="00B94175"/>
    <w:rsid w:val="00B970A2"/>
    <w:rsid w:val="00BA1338"/>
    <w:rsid w:val="00BA7FF6"/>
    <w:rsid w:val="00BC13C0"/>
    <w:rsid w:val="00C22BCD"/>
    <w:rsid w:val="00C324FF"/>
    <w:rsid w:val="00C45781"/>
    <w:rsid w:val="00C62241"/>
    <w:rsid w:val="00C6552E"/>
    <w:rsid w:val="00C733E3"/>
    <w:rsid w:val="00C76F6C"/>
    <w:rsid w:val="00C8273C"/>
    <w:rsid w:val="00C8429E"/>
    <w:rsid w:val="00CA6CAA"/>
    <w:rsid w:val="00CB6031"/>
    <w:rsid w:val="00CD3FA5"/>
    <w:rsid w:val="00CD7B33"/>
    <w:rsid w:val="00CF4E85"/>
    <w:rsid w:val="00D356BF"/>
    <w:rsid w:val="00D53BBE"/>
    <w:rsid w:val="00D61274"/>
    <w:rsid w:val="00D63417"/>
    <w:rsid w:val="00D910C4"/>
    <w:rsid w:val="00DE1BAF"/>
    <w:rsid w:val="00DF4D69"/>
    <w:rsid w:val="00DF5B33"/>
    <w:rsid w:val="00E16D2A"/>
    <w:rsid w:val="00E204BF"/>
    <w:rsid w:val="00E50CD3"/>
    <w:rsid w:val="00E52DB6"/>
    <w:rsid w:val="00E91A5D"/>
    <w:rsid w:val="00E91D5C"/>
    <w:rsid w:val="00EC200B"/>
    <w:rsid w:val="00EC6AF9"/>
    <w:rsid w:val="00EE04CC"/>
    <w:rsid w:val="00EE0A0E"/>
    <w:rsid w:val="00EF5D4B"/>
    <w:rsid w:val="00EF6747"/>
    <w:rsid w:val="00F024CD"/>
    <w:rsid w:val="00F0272C"/>
    <w:rsid w:val="00F02DFA"/>
    <w:rsid w:val="00F27329"/>
    <w:rsid w:val="00F302FA"/>
    <w:rsid w:val="00F30574"/>
    <w:rsid w:val="00F436D2"/>
    <w:rsid w:val="00FE0C0E"/>
    <w:rsid w:val="00FE6B4D"/>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37C32"/>
  <w15:chartTrackingRefBased/>
  <w15:docId w15:val="{21DCF70A-0074-A348-A59A-FB585512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E49"/>
    <w:pPr>
      <w:spacing w:before="120" w:after="120"/>
      <w:jc w:val="lowKashida"/>
    </w:pPr>
  </w:style>
  <w:style w:type="paragraph" w:styleId="Heading1">
    <w:name w:val="heading 1"/>
    <w:basedOn w:val="Normal"/>
    <w:link w:val="Heading1Char"/>
    <w:uiPriority w:val="9"/>
    <w:qFormat/>
    <w:rsid w:val="00715E49"/>
    <w:pPr>
      <w:spacing w:before="240" w:after="240"/>
      <w:jc w:val="left"/>
      <w:outlineLvl w:val="0"/>
    </w:pPr>
    <w:rPr>
      <w:rFonts w:ascii="Cera Pro" w:eastAsia="Times New Roman" w:hAnsi="Cera Pro" w:cs="Times New Roman"/>
      <w:b/>
      <w:bCs/>
      <w:color w:val="006A66"/>
      <w:kern w:val="36"/>
      <w:sz w:val="50"/>
      <w:szCs w:val="48"/>
      <w:lang w:eastAsia="fr-FR"/>
    </w:rPr>
  </w:style>
  <w:style w:type="paragraph" w:styleId="Heading2">
    <w:name w:val="heading 2"/>
    <w:basedOn w:val="Normal"/>
    <w:next w:val="Normal"/>
    <w:link w:val="Heading2Char"/>
    <w:uiPriority w:val="9"/>
    <w:unhideWhenUsed/>
    <w:qFormat/>
    <w:rsid w:val="00715E49"/>
    <w:pPr>
      <w:keepNext/>
      <w:keepLines/>
      <w:numPr>
        <w:numId w:val="3"/>
      </w:numPr>
      <w:spacing w:before="360"/>
      <w:jc w:val="left"/>
      <w:outlineLvl w:val="1"/>
    </w:pPr>
    <w:rPr>
      <w:rFonts w:eastAsiaTheme="majorEastAsia" w:cstheme="majorBidi"/>
      <w:b/>
      <w:color w:val="006A66"/>
      <w:sz w:val="30"/>
      <w:szCs w:val="26"/>
    </w:rPr>
  </w:style>
  <w:style w:type="paragraph" w:styleId="Heading3">
    <w:name w:val="heading 3"/>
    <w:basedOn w:val="Normal"/>
    <w:next w:val="Normal"/>
    <w:link w:val="Heading3Char"/>
    <w:uiPriority w:val="9"/>
    <w:unhideWhenUsed/>
    <w:qFormat/>
    <w:rsid w:val="00715E49"/>
    <w:pPr>
      <w:keepNext/>
      <w:keepLines/>
      <w:numPr>
        <w:numId w:val="4"/>
      </w:numPr>
      <w:spacing w:before="360"/>
      <w:ind w:left="714" w:hanging="357"/>
      <w:jc w:val="left"/>
      <w:outlineLvl w:val="2"/>
    </w:pPr>
    <w:rPr>
      <w:rFonts w:ascii="Calibri" w:eastAsiaTheme="majorEastAsia" w:hAnsi="Calibri" w:cstheme="majorBidi"/>
      <w:b/>
      <w:color w:val="E5702A"/>
      <w:sz w:val="26"/>
    </w:rPr>
  </w:style>
  <w:style w:type="paragraph" w:styleId="Heading4">
    <w:name w:val="heading 4"/>
    <w:basedOn w:val="Normal"/>
    <w:next w:val="Normal"/>
    <w:link w:val="Heading4Char"/>
    <w:uiPriority w:val="9"/>
    <w:unhideWhenUsed/>
    <w:qFormat/>
    <w:rsid w:val="00E16D2A"/>
    <w:pPr>
      <w:keepNext/>
      <w:keepLines/>
      <w:numPr>
        <w:numId w:val="6"/>
      </w:numPr>
      <w:spacing w:before="240"/>
      <w:ind w:left="641" w:hanging="357"/>
      <w:outlineLvl w:val="3"/>
    </w:pPr>
    <w:rPr>
      <w:rFonts w:eastAsiaTheme="majorEastAsia" w:cstheme="majorBidi"/>
      <w:i/>
      <w:iCs/>
      <w:color w:val="E5702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E49"/>
    <w:rPr>
      <w:rFonts w:ascii="Cera Pro" w:eastAsia="Times New Roman" w:hAnsi="Cera Pro" w:cs="Times New Roman"/>
      <w:b/>
      <w:bCs/>
      <w:color w:val="006A66"/>
      <w:kern w:val="36"/>
      <w:sz w:val="50"/>
      <w:szCs w:val="48"/>
      <w:lang w:eastAsia="fr-FR"/>
    </w:rPr>
  </w:style>
  <w:style w:type="character" w:customStyle="1" w:styleId="Heading3Char">
    <w:name w:val="Heading 3 Char"/>
    <w:basedOn w:val="DefaultParagraphFont"/>
    <w:link w:val="Heading3"/>
    <w:uiPriority w:val="9"/>
    <w:rsid w:val="00715E49"/>
    <w:rPr>
      <w:rFonts w:ascii="Calibri" w:eastAsiaTheme="majorEastAsia" w:hAnsi="Calibri" w:cstheme="majorBidi"/>
      <w:b/>
      <w:color w:val="E5702A"/>
      <w:sz w:val="26"/>
    </w:rPr>
  </w:style>
  <w:style w:type="paragraph" w:styleId="NormalWeb">
    <w:name w:val="Normal (Web)"/>
    <w:basedOn w:val="Normal"/>
    <w:uiPriority w:val="99"/>
    <w:unhideWhenUsed/>
    <w:rsid w:val="00F436D2"/>
    <w:pPr>
      <w:spacing w:before="100" w:beforeAutospacing="1" w:after="100" w:afterAutospacing="1"/>
    </w:pPr>
    <w:rPr>
      <w:rFonts w:ascii="Times New Roman" w:eastAsia="Times New Roman" w:hAnsi="Times New Roman" w:cs="Times New Roman"/>
      <w:lang w:eastAsia="fr-FR"/>
    </w:rPr>
  </w:style>
  <w:style w:type="character" w:styleId="Hyperlink">
    <w:name w:val="Hyperlink"/>
    <w:basedOn w:val="DefaultParagraphFont"/>
    <w:uiPriority w:val="99"/>
    <w:semiHidden/>
    <w:unhideWhenUsed/>
    <w:rsid w:val="00F436D2"/>
    <w:rPr>
      <w:color w:val="0000FF"/>
      <w:u w:val="single"/>
    </w:rPr>
  </w:style>
  <w:style w:type="character" w:styleId="Emphasis">
    <w:name w:val="Emphasis"/>
    <w:basedOn w:val="DefaultParagraphFont"/>
    <w:uiPriority w:val="20"/>
    <w:qFormat/>
    <w:rsid w:val="00F436D2"/>
    <w:rPr>
      <w:i/>
      <w:iCs/>
    </w:rPr>
  </w:style>
  <w:style w:type="character" w:styleId="Strong">
    <w:name w:val="Strong"/>
    <w:basedOn w:val="DefaultParagraphFont"/>
    <w:uiPriority w:val="22"/>
    <w:qFormat/>
    <w:rsid w:val="00DF4D69"/>
    <w:rPr>
      <w:b/>
      <w:bCs/>
    </w:rPr>
  </w:style>
  <w:style w:type="character" w:styleId="FollowedHyperlink">
    <w:name w:val="FollowedHyperlink"/>
    <w:basedOn w:val="DefaultParagraphFont"/>
    <w:uiPriority w:val="99"/>
    <w:semiHidden/>
    <w:unhideWhenUsed/>
    <w:rsid w:val="00DF4D69"/>
    <w:rPr>
      <w:color w:val="954F72" w:themeColor="followedHyperlink"/>
      <w:u w:val="single"/>
    </w:rPr>
  </w:style>
  <w:style w:type="paragraph" w:styleId="Header">
    <w:name w:val="header"/>
    <w:basedOn w:val="Normal"/>
    <w:link w:val="HeaderChar"/>
    <w:uiPriority w:val="99"/>
    <w:unhideWhenUsed/>
    <w:rsid w:val="003F14C5"/>
    <w:pPr>
      <w:tabs>
        <w:tab w:val="center" w:pos="4536"/>
        <w:tab w:val="right" w:pos="9072"/>
      </w:tabs>
    </w:pPr>
  </w:style>
  <w:style w:type="character" w:customStyle="1" w:styleId="HeaderChar">
    <w:name w:val="Header Char"/>
    <w:basedOn w:val="DefaultParagraphFont"/>
    <w:link w:val="Header"/>
    <w:uiPriority w:val="99"/>
    <w:rsid w:val="003F14C5"/>
  </w:style>
  <w:style w:type="paragraph" w:styleId="Footer">
    <w:name w:val="footer"/>
    <w:basedOn w:val="Normal"/>
    <w:link w:val="FooterChar"/>
    <w:uiPriority w:val="99"/>
    <w:unhideWhenUsed/>
    <w:rsid w:val="003F14C5"/>
    <w:pPr>
      <w:tabs>
        <w:tab w:val="center" w:pos="4536"/>
        <w:tab w:val="right" w:pos="9072"/>
      </w:tabs>
    </w:pPr>
  </w:style>
  <w:style w:type="character" w:customStyle="1" w:styleId="FooterChar">
    <w:name w:val="Footer Char"/>
    <w:basedOn w:val="DefaultParagraphFont"/>
    <w:link w:val="Footer"/>
    <w:uiPriority w:val="99"/>
    <w:rsid w:val="003F14C5"/>
  </w:style>
  <w:style w:type="character" w:customStyle="1" w:styleId="Heading2Char">
    <w:name w:val="Heading 2 Char"/>
    <w:basedOn w:val="DefaultParagraphFont"/>
    <w:link w:val="Heading2"/>
    <w:uiPriority w:val="9"/>
    <w:rsid w:val="00715E49"/>
    <w:rPr>
      <w:rFonts w:eastAsiaTheme="majorEastAsia" w:cstheme="majorBidi"/>
      <w:b/>
      <w:color w:val="006A66"/>
      <w:sz w:val="30"/>
      <w:szCs w:val="26"/>
    </w:rPr>
  </w:style>
  <w:style w:type="character" w:customStyle="1" w:styleId="Heading4Char">
    <w:name w:val="Heading 4 Char"/>
    <w:basedOn w:val="DefaultParagraphFont"/>
    <w:link w:val="Heading4"/>
    <w:uiPriority w:val="9"/>
    <w:rsid w:val="00E16D2A"/>
    <w:rPr>
      <w:rFonts w:eastAsiaTheme="majorEastAsia" w:cstheme="majorBidi"/>
      <w:i/>
      <w:iCs/>
      <w:color w:val="E5702A"/>
    </w:rPr>
  </w:style>
  <w:style w:type="paragraph" w:styleId="NoSpacing">
    <w:name w:val="No Spacing"/>
    <w:uiPriority w:val="1"/>
    <w:qFormat/>
    <w:rsid w:val="00715E49"/>
    <w:pPr>
      <w:spacing w:before="120" w:after="120"/>
    </w:pPr>
    <w:rPr>
      <w:color w:val="006A66"/>
      <w:sz w:val="28"/>
    </w:rPr>
  </w:style>
  <w:style w:type="character" w:styleId="PlaceholderText">
    <w:name w:val="Placeholder Text"/>
    <w:basedOn w:val="DefaultParagraphFont"/>
    <w:uiPriority w:val="99"/>
    <w:semiHidden/>
    <w:rsid w:val="009B478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91390">
      <w:bodyDiv w:val="1"/>
      <w:marLeft w:val="0"/>
      <w:marRight w:val="0"/>
      <w:marTop w:val="0"/>
      <w:marBottom w:val="0"/>
      <w:divBdr>
        <w:top w:val="none" w:sz="0" w:space="0" w:color="auto"/>
        <w:left w:val="none" w:sz="0" w:space="0" w:color="auto"/>
        <w:bottom w:val="none" w:sz="0" w:space="0" w:color="auto"/>
        <w:right w:val="none" w:sz="0" w:space="0" w:color="auto"/>
      </w:divBdr>
    </w:div>
    <w:div w:id="595869059">
      <w:bodyDiv w:val="1"/>
      <w:marLeft w:val="0"/>
      <w:marRight w:val="0"/>
      <w:marTop w:val="0"/>
      <w:marBottom w:val="0"/>
      <w:divBdr>
        <w:top w:val="none" w:sz="0" w:space="0" w:color="auto"/>
        <w:left w:val="none" w:sz="0" w:space="0" w:color="auto"/>
        <w:bottom w:val="none" w:sz="0" w:space="0" w:color="auto"/>
        <w:right w:val="none" w:sz="0" w:space="0" w:color="auto"/>
      </w:divBdr>
    </w:div>
    <w:div w:id="722559124">
      <w:bodyDiv w:val="1"/>
      <w:marLeft w:val="0"/>
      <w:marRight w:val="0"/>
      <w:marTop w:val="0"/>
      <w:marBottom w:val="0"/>
      <w:divBdr>
        <w:top w:val="none" w:sz="0" w:space="0" w:color="auto"/>
        <w:left w:val="none" w:sz="0" w:space="0" w:color="auto"/>
        <w:bottom w:val="none" w:sz="0" w:space="0" w:color="auto"/>
        <w:right w:val="none" w:sz="0" w:space="0" w:color="auto"/>
      </w:divBdr>
    </w:div>
    <w:div w:id="1082528110">
      <w:bodyDiv w:val="1"/>
      <w:marLeft w:val="0"/>
      <w:marRight w:val="0"/>
      <w:marTop w:val="0"/>
      <w:marBottom w:val="0"/>
      <w:divBdr>
        <w:top w:val="none" w:sz="0" w:space="0" w:color="auto"/>
        <w:left w:val="none" w:sz="0" w:space="0" w:color="auto"/>
        <w:bottom w:val="none" w:sz="0" w:space="0" w:color="auto"/>
        <w:right w:val="none" w:sz="0" w:space="0" w:color="auto"/>
      </w:divBdr>
    </w:div>
    <w:div w:id="1124545262">
      <w:bodyDiv w:val="1"/>
      <w:marLeft w:val="0"/>
      <w:marRight w:val="0"/>
      <w:marTop w:val="0"/>
      <w:marBottom w:val="0"/>
      <w:divBdr>
        <w:top w:val="none" w:sz="0" w:space="0" w:color="auto"/>
        <w:left w:val="none" w:sz="0" w:space="0" w:color="auto"/>
        <w:bottom w:val="none" w:sz="0" w:space="0" w:color="auto"/>
        <w:right w:val="none" w:sz="0" w:space="0" w:color="auto"/>
      </w:divBdr>
    </w:div>
    <w:div w:id="1126243833">
      <w:bodyDiv w:val="1"/>
      <w:marLeft w:val="0"/>
      <w:marRight w:val="0"/>
      <w:marTop w:val="0"/>
      <w:marBottom w:val="0"/>
      <w:divBdr>
        <w:top w:val="none" w:sz="0" w:space="0" w:color="auto"/>
        <w:left w:val="none" w:sz="0" w:space="0" w:color="auto"/>
        <w:bottom w:val="none" w:sz="0" w:space="0" w:color="auto"/>
        <w:right w:val="none" w:sz="0" w:space="0" w:color="auto"/>
      </w:divBdr>
    </w:div>
    <w:div w:id="1716663112">
      <w:bodyDiv w:val="1"/>
      <w:marLeft w:val="0"/>
      <w:marRight w:val="0"/>
      <w:marTop w:val="0"/>
      <w:marBottom w:val="0"/>
      <w:divBdr>
        <w:top w:val="none" w:sz="0" w:space="0" w:color="auto"/>
        <w:left w:val="none" w:sz="0" w:space="0" w:color="auto"/>
        <w:bottom w:val="none" w:sz="0" w:space="0" w:color="auto"/>
        <w:right w:val="none" w:sz="0" w:space="0" w:color="auto"/>
      </w:divBdr>
    </w:div>
    <w:div w:id="19046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B556-1EF4-834B-A7F1-AFD6780E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4392</Characters>
  <Application>Microsoft Office Word</Application>
  <DocSecurity>0</DocSecurity>
  <Lines>74</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Ramaromanana, Clara</cp:lastModifiedBy>
  <cp:revision>61</cp:revision>
  <cp:lastPrinted>2025-12-12T19:16:00Z</cp:lastPrinted>
  <dcterms:created xsi:type="dcterms:W3CDTF">2026-01-05T13:48:00Z</dcterms:created>
  <dcterms:modified xsi:type="dcterms:W3CDTF">2026-02-06T08:58:00Z</dcterms:modified>
</cp:coreProperties>
</file>