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6BBD" w14:textId="77777777" w:rsidR="00116AE3" w:rsidRDefault="00116AE3" w:rsidP="00116AE3">
      <w:pPr>
        <w:pStyle w:val="Heading1"/>
        <w:spacing w:before="0" w:after="0"/>
        <w:jc w:val="center"/>
        <w:rPr>
          <w:rFonts w:ascii="Calibri" w:hAnsi="Calibri"/>
          <w:b w:val="0"/>
          <w:bCs w:val="0"/>
          <w:sz w:val="28"/>
          <w:szCs w:val="28"/>
          <w:lang w:val="fr-CH"/>
        </w:rPr>
      </w:pPr>
      <w:r w:rsidRPr="002D6A51">
        <w:rPr>
          <w:rFonts w:ascii="Calibri" w:hAnsi="Calibri"/>
          <w:b w:val="0"/>
          <w:bCs w:val="0"/>
          <w:sz w:val="28"/>
          <w:szCs w:val="28"/>
          <w:lang w:val="fr-CH"/>
        </w:rPr>
        <w:t>Note conceptuelle pour une session thématique sur</w:t>
      </w:r>
    </w:p>
    <w:p w14:paraId="182FE00B" w14:textId="77777777" w:rsidR="00116AE3" w:rsidRPr="002D6A51" w:rsidRDefault="00116AE3" w:rsidP="00116AE3">
      <w:pPr>
        <w:pStyle w:val="Heading1"/>
        <w:spacing w:before="0" w:after="0"/>
        <w:jc w:val="center"/>
        <w:rPr>
          <w:sz w:val="36"/>
          <w:szCs w:val="36"/>
          <w:lang w:val="fr-CH"/>
        </w:rPr>
      </w:pPr>
    </w:p>
    <w:p w14:paraId="7FB2CA2D" w14:textId="66461323" w:rsidR="00116AE3" w:rsidRPr="00116AE3" w:rsidRDefault="007E1FEB" w:rsidP="00116AE3">
      <w:pPr>
        <w:pStyle w:val="Heading1"/>
        <w:spacing w:before="0" w:after="0"/>
        <w:jc w:val="center"/>
        <w:rPr>
          <w:color w:val="ED7D31" w:themeColor="accent2"/>
          <w:sz w:val="40"/>
          <w:szCs w:val="40"/>
          <w:lang w:val="fr-CH"/>
        </w:rPr>
      </w:pPr>
      <w:r>
        <w:rPr>
          <w:color w:val="ED7D31" w:themeColor="accent2"/>
          <w:sz w:val="40"/>
          <w:szCs w:val="40"/>
          <w:lang w:val="fr-CH"/>
        </w:rPr>
        <w:t xml:space="preserve">Des voix plus fortes, des revenus équitables, des avenirs meilleurs : des voies de travail décent pour mettre fin au travail des enfants </w:t>
      </w:r>
    </w:p>
    <w:p w14:paraId="09032BCB" w14:textId="77777777" w:rsidR="00116AE3" w:rsidRPr="002D6A51" w:rsidRDefault="00116AE3" w:rsidP="00116AE3">
      <w:pPr>
        <w:pStyle w:val="Heading1"/>
        <w:spacing w:after="0"/>
        <w:jc w:val="center"/>
        <w:rPr>
          <w:rFonts w:ascii="Calibri" w:hAnsi="Calibri"/>
          <w:b w:val="0"/>
          <w:bCs w:val="0"/>
          <w:sz w:val="28"/>
          <w:szCs w:val="28"/>
          <w:lang w:val="fr-CH"/>
        </w:rPr>
      </w:pPr>
      <w:proofErr w:type="gramStart"/>
      <w:r w:rsidRPr="002D6A51">
        <w:rPr>
          <w:rFonts w:ascii="Calibri" w:hAnsi="Calibri"/>
          <w:b w:val="0"/>
          <w:bCs w:val="0"/>
          <w:sz w:val="28"/>
          <w:szCs w:val="28"/>
          <w:lang w:val="fr-CH"/>
        </w:rPr>
        <w:t>à</w:t>
      </w:r>
      <w:proofErr w:type="gramEnd"/>
      <w:r w:rsidRPr="002D6A51">
        <w:rPr>
          <w:rFonts w:ascii="Calibri" w:hAnsi="Calibri"/>
          <w:b w:val="0"/>
          <w:bCs w:val="0"/>
          <w:sz w:val="28"/>
          <w:szCs w:val="28"/>
          <w:lang w:val="fr-CH"/>
        </w:rPr>
        <w:t xml:space="preserve"> la 6e Conférence mondiale sur l'élimination du travail des enfants, Marrakech, Maroc</w:t>
      </w:r>
    </w:p>
    <w:p w14:paraId="59B3BF92" w14:textId="063C73AE" w:rsidR="00116AE3" w:rsidRPr="002D6A51" w:rsidRDefault="00116AE3" w:rsidP="00116AE3">
      <w:pPr>
        <w:pStyle w:val="Heading1"/>
        <w:spacing w:after="0"/>
        <w:jc w:val="center"/>
        <w:rPr>
          <w:rFonts w:ascii="Calibri" w:hAnsi="Calibri"/>
          <w:b w:val="0"/>
          <w:bCs w:val="0"/>
          <w:sz w:val="28"/>
          <w:szCs w:val="28"/>
          <w:lang w:val="fr-CH"/>
        </w:rPr>
      </w:pPr>
      <w:r w:rsidRPr="002D6A51">
        <w:rPr>
          <w:rFonts w:ascii="Calibri" w:hAnsi="Calibri"/>
          <w:b w:val="0"/>
          <w:bCs w:val="0"/>
          <w:sz w:val="28"/>
          <w:szCs w:val="28"/>
          <w:lang w:val="fr-CH"/>
        </w:rPr>
        <w:t xml:space="preserve">Jeudi 12 février 2026 </w:t>
      </w:r>
      <w:r>
        <w:rPr>
          <w:rFonts w:ascii="Calibri" w:hAnsi="Calibri"/>
          <w:b w:val="0"/>
          <w:bCs w:val="0"/>
          <w:sz w:val="28"/>
          <w:szCs w:val="28"/>
          <w:lang w:val="fr-CH"/>
        </w:rPr>
        <w:t>–</w:t>
      </w:r>
      <w:r w:rsidRPr="002D6A51">
        <w:rPr>
          <w:rFonts w:ascii="Calibri" w:hAnsi="Calibri"/>
          <w:b w:val="0"/>
          <w:bCs w:val="0"/>
          <w:sz w:val="28"/>
          <w:szCs w:val="28"/>
          <w:lang w:val="fr-CH"/>
        </w:rPr>
        <w:t xml:space="preserve"> </w:t>
      </w:r>
      <w:r w:rsidR="007E1FEB">
        <w:rPr>
          <w:rFonts w:ascii="Calibri" w:hAnsi="Calibri"/>
          <w:b w:val="0"/>
          <w:bCs w:val="0"/>
          <w:sz w:val="28"/>
          <w:szCs w:val="28"/>
          <w:lang w:val="fr-CH"/>
        </w:rPr>
        <w:t>09</w:t>
      </w:r>
      <w:r>
        <w:rPr>
          <w:rFonts w:ascii="Calibri" w:hAnsi="Calibri"/>
          <w:b w:val="0"/>
          <w:bCs w:val="0"/>
          <w:sz w:val="28"/>
          <w:szCs w:val="28"/>
          <w:lang w:val="fr-CH"/>
        </w:rPr>
        <w:t>.</w:t>
      </w:r>
      <w:r w:rsidRPr="002D6A51">
        <w:rPr>
          <w:rFonts w:ascii="Calibri" w:hAnsi="Calibri"/>
          <w:b w:val="0"/>
          <w:bCs w:val="0"/>
          <w:sz w:val="28"/>
          <w:szCs w:val="28"/>
          <w:lang w:val="fr-CH"/>
        </w:rPr>
        <w:t xml:space="preserve">15 </w:t>
      </w:r>
      <w:r w:rsidR="007E1FEB">
        <w:rPr>
          <w:rFonts w:ascii="Calibri" w:hAnsi="Calibri"/>
          <w:b w:val="0"/>
          <w:bCs w:val="0"/>
          <w:sz w:val="28"/>
          <w:szCs w:val="28"/>
          <w:lang w:val="fr-CH"/>
        </w:rPr>
        <w:t>à</w:t>
      </w:r>
      <w:r w:rsidRPr="002D6A51">
        <w:rPr>
          <w:rFonts w:ascii="Calibri" w:hAnsi="Calibri"/>
          <w:b w:val="0"/>
          <w:bCs w:val="0"/>
          <w:sz w:val="28"/>
          <w:szCs w:val="28"/>
          <w:lang w:val="fr-CH"/>
        </w:rPr>
        <w:t xml:space="preserve"> 1</w:t>
      </w:r>
      <w:r w:rsidR="007E1FEB">
        <w:rPr>
          <w:rFonts w:ascii="Calibri" w:hAnsi="Calibri"/>
          <w:b w:val="0"/>
          <w:bCs w:val="0"/>
          <w:sz w:val="28"/>
          <w:szCs w:val="28"/>
          <w:lang w:val="fr-CH"/>
        </w:rPr>
        <w:t>1</w:t>
      </w:r>
      <w:r>
        <w:rPr>
          <w:rFonts w:ascii="Calibri" w:hAnsi="Calibri"/>
          <w:b w:val="0"/>
          <w:bCs w:val="0"/>
          <w:sz w:val="28"/>
          <w:szCs w:val="28"/>
          <w:lang w:val="fr-CH"/>
        </w:rPr>
        <w:t>.</w:t>
      </w:r>
      <w:r w:rsidRPr="002D6A51">
        <w:rPr>
          <w:rFonts w:ascii="Calibri" w:hAnsi="Calibri"/>
          <w:b w:val="0"/>
          <w:bCs w:val="0"/>
          <w:sz w:val="28"/>
          <w:szCs w:val="28"/>
          <w:lang w:val="fr-CH"/>
        </w:rPr>
        <w:t>00</w:t>
      </w:r>
      <w:r w:rsidR="00DA6D62">
        <w:rPr>
          <w:rFonts w:ascii="Calibri" w:hAnsi="Calibri"/>
          <w:b w:val="0"/>
          <w:bCs w:val="0"/>
          <w:sz w:val="28"/>
          <w:szCs w:val="28"/>
          <w:lang w:val="fr-CH"/>
        </w:rPr>
        <w:t xml:space="preserve"> (GMT+1)</w:t>
      </w:r>
    </w:p>
    <w:p w14:paraId="4846B0D2" w14:textId="77777777" w:rsidR="00116AE3" w:rsidRDefault="00116AE3" w:rsidP="00116AE3">
      <w:pPr>
        <w:rPr>
          <w:lang w:val="en-US"/>
        </w:rPr>
      </w:pPr>
    </w:p>
    <w:p w14:paraId="25EC9584" w14:textId="77777777" w:rsidR="00116AE3" w:rsidRPr="00116AE3" w:rsidRDefault="00116AE3" w:rsidP="00116AE3">
      <w:pPr>
        <w:pStyle w:val="Heading2"/>
        <w:ind w:left="567" w:hanging="425"/>
        <w:rPr>
          <w:color w:val="ED7D31" w:themeColor="accent2"/>
          <w:sz w:val="36"/>
          <w:szCs w:val="32"/>
          <w:lang w:val="en-US"/>
        </w:rPr>
      </w:pPr>
      <w:proofErr w:type="spellStart"/>
      <w:r w:rsidRPr="00116AE3">
        <w:rPr>
          <w:color w:val="ED7D31" w:themeColor="accent2"/>
          <w:sz w:val="36"/>
          <w:szCs w:val="32"/>
          <w:lang w:val="en-US"/>
        </w:rPr>
        <w:t>Contexte</w:t>
      </w:r>
      <w:proofErr w:type="spellEnd"/>
      <w:r w:rsidRPr="00116AE3">
        <w:rPr>
          <w:color w:val="ED7D31" w:themeColor="accent2"/>
          <w:sz w:val="36"/>
          <w:szCs w:val="32"/>
          <w:lang w:val="en-US"/>
        </w:rPr>
        <w:t xml:space="preserve"> </w:t>
      </w:r>
    </w:p>
    <w:p w14:paraId="72BAEEDF" w14:textId="03606C0E" w:rsidR="007E1FEB" w:rsidRPr="007E1FEB" w:rsidRDefault="007E1FEB" w:rsidP="007E1FEB">
      <w:pPr>
        <w:pStyle w:val="NoSpacing"/>
        <w:jc w:val="both"/>
        <w:rPr>
          <w:lang w:val="fr-FR"/>
        </w:rPr>
      </w:pPr>
      <w:r w:rsidRPr="007E1FEB">
        <w:rPr>
          <w:lang w:val="fr-FR"/>
        </w:rPr>
        <w:t xml:space="preserve">L’engagement mondial en faveur de la justice sociale, réaffirmé dans la Déclaration politique de Doha de 2025, place le travail décent, une rémunération équitable et la protection sociale au cœur du développement durable. Pourtant, pour des millions de travailleurs, ces engagements restent non réalisés. Près d’un travailleur sur cinq dans le monde vit dans la pauvreté, et la majorité des travailleurs </w:t>
      </w:r>
      <w:r w:rsidR="002A350B">
        <w:rPr>
          <w:lang w:val="fr-FR"/>
        </w:rPr>
        <w:t xml:space="preserve">dans l’économie informelle </w:t>
      </w:r>
      <w:r w:rsidRPr="007E1FEB">
        <w:rPr>
          <w:lang w:val="fr-FR"/>
        </w:rPr>
        <w:t>n’a pas de protection de base, de revenus stables ou de mécanismes pour faire valoir ses droits. Ces déficits persistants fragilisent la stabilité des ménages et limitent la capacité des adultes à obtenir un</w:t>
      </w:r>
      <w:r w:rsidR="002A350B">
        <w:rPr>
          <w:lang w:val="fr-FR"/>
        </w:rPr>
        <w:t xml:space="preserve">e rémunération </w:t>
      </w:r>
      <w:r w:rsidRPr="007E1FEB">
        <w:rPr>
          <w:lang w:val="fr-FR"/>
        </w:rPr>
        <w:t>équitable pour leur travail.</w:t>
      </w:r>
    </w:p>
    <w:p w14:paraId="086AE078" w14:textId="3BFF18E3" w:rsidR="007E1FEB" w:rsidRPr="007E1FEB" w:rsidRDefault="007E1FEB" w:rsidP="007E1FEB">
      <w:pPr>
        <w:pStyle w:val="NoSpacing"/>
        <w:jc w:val="both"/>
        <w:rPr>
          <w:szCs w:val="28"/>
          <w:lang w:val="fr-FR"/>
        </w:rPr>
      </w:pPr>
      <w:r w:rsidRPr="007E1FEB">
        <w:rPr>
          <w:szCs w:val="28"/>
          <w:lang w:val="fr-FR"/>
        </w:rPr>
        <w:t xml:space="preserve">Les </w:t>
      </w:r>
      <w:r w:rsidRPr="007E1FEB">
        <w:rPr>
          <w:b/>
          <w:bCs/>
          <w:szCs w:val="28"/>
          <w:lang w:val="fr-FR"/>
        </w:rPr>
        <w:t>Estimations mondiales du travail des enfants 2024</w:t>
      </w:r>
      <w:r w:rsidRPr="007E1FEB">
        <w:rPr>
          <w:szCs w:val="28"/>
          <w:lang w:val="fr-FR"/>
        </w:rPr>
        <w:t xml:space="preserve"> révèlent que 138 millions d’enfants sont encore engagés dans le travail des enfants, dont 54 millions dans des travaux dangereux. La persistance du travail des enfants est étroitement liée à l’insécurité </w:t>
      </w:r>
      <w:proofErr w:type="gramStart"/>
      <w:r w:rsidRPr="007E1FEB">
        <w:rPr>
          <w:szCs w:val="28"/>
          <w:lang w:val="fr-FR"/>
        </w:rPr>
        <w:t>économique:</w:t>
      </w:r>
      <w:proofErr w:type="gramEnd"/>
      <w:r w:rsidRPr="007E1FEB">
        <w:rPr>
          <w:szCs w:val="28"/>
          <w:lang w:val="fr-FR"/>
        </w:rPr>
        <w:t xml:space="preserve"> lorsque les adultes ne peuvent pas gagner suffisamment pour satisfaire les besoins fondamentaux, les ménages </w:t>
      </w:r>
      <w:r w:rsidR="002A350B">
        <w:rPr>
          <w:szCs w:val="28"/>
          <w:lang w:val="fr-FR"/>
        </w:rPr>
        <w:t>risquent de recourir</w:t>
      </w:r>
      <w:r w:rsidRPr="007E1FEB">
        <w:rPr>
          <w:szCs w:val="28"/>
          <w:lang w:val="fr-FR"/>
        </w:rPr>
        <w:t xml:space="preserve"> au travail des enfants comme stratégie de survie.</w:t>
      </w:r>
      <w:r w:rsidR="002A350B">
        <w:rPr>
          <w:szCs w:val="28"/>
          <w:lang w:val="fr-FR"/>
        </w:rPr>
        <w:t xml:space="preserve"> </w:t>
      </w:r>
    </w:p>
    <w:p w14:paraId="07320E06" w14:textId="5F20D3FC" w:rsidR="007E1FEB" w:rsidRPr="007E1FEB" w:rsidRDefault="007E1FEB" w:rsidP="007E1FEB">
      <w:pPr>
        <w:pStyle w:val="NoSpacing"/>
        <w:jc w:val="both"/>
        <w:rPr>
          <w:szCs w:val="28"/>
          <w:lang w:val="fr-FR"/>
        </w:rPr>
      </w:pPr>
      <w:r w:rsidRPr="007E1FEB">
        <w:rPr>
          <w:szCs w:val="28"/>
          <w:lang w:val="fr-FR"/>
        </w:rPr>
        <w:t xml:space="preserve">Dans ce contexte, des </w:t>
      </w:r>
      <w:r w:rsidRPr="007E1FEB">
        <w:rPr>
          <w:b/>
          <w:bCs/>
          <w:szCs w:val="28"/>
          <w:lang w:val="fr-FR"/>
        </w:rPr>
        <w:t xml:space="preserve">salaires </w:t>
      </w:r>
      <w:r w:rsidR="00EF7525">
        <w:rPr>
          <w:b/>
          <w:bCs/>
          <w:szCs w:val="28"/>
          <w:lang w:val="fr-FR"/>
        </w:rPr>
        <w:t xml:space="preserve">vitaux </w:t>
      </w:r>
      <w:r w:rsidRPr="007E1FEB">
        <w:rPr>
          <w:szCs w:val="28"/>
          <w:lang w:val="fr-FR"/>
        </w:rPr>
        <w:t xml:space="preserve">et des moyens de subsistance adéquats sont des stratégies essentielles pour éliminer le travail des enfants. Garantir que les adultes perçoivent un revenu durable permettant à leurs familles de subvenir à leurs besoins fondamentaux avec dignité réduit directement les pressions économiques qui poussent les enfants au travail. Les salaires </w:t>
      </w:r>
      <w:r w:rsidR="00EF7525">
        <w:rPr>
          <w:szCs w:val="28"/>
          <w:lang w:val="fr-FR"/>
        </w:rPr>
        <w:t>vitaux</w:t>
      </w:r>
      <w:r w:rsidRPr="007E1FEB">
        <w:rPr>
          <w:szCs w:val="28"/>
          <w:lang w:val="fr-FR"/>
        </w:rPr>
        <w:t xml:space="preserve"> peuvent renforcer la résilience des ménages, soutenir la scolarisation des enfants et libérer les familles des choix de survie à court terme qui perpétuent la pauvreté intergénérationnelle.</w:t>
      </w:r>
    </w:p>
    <w:p w14:paraId="2650B906" w14:textId="41DFBC38" w:rsidR="007E1FEB" w:rsidRPr="007E1FEB" w:rsidRDefault="002A350B" w:rsidP="007E1FEB">
      <w:pPr>
        <w:pStyle w:val="NoSpacing"/>
        <w:jc w:val="both"/>
        <w:rPr>
          <w:lang w:val="fr-FR"/>
        </w:rPr>
      </w:pPr>
      <w:r w:rsidRPr="002A350B">
        <w:lastRenderedPageBreak/>
        <w:t xml:space="preserve">Les données provenant des syndicats et d’autres organisations fondées sur l’adhésion, telles que les coopératives, soulignent l’importance de la voix collective des travailleurs pour parvenir à des salaires </w:t>
      </w:r>
      <w:r w:rsidR="00EF7525">
        <w:t>vitaux</w:t>
      </w:r>
      <w:r w:rsidRPr="002A350B">
        <w:t xml:space="preserve"> et à des moyens de subsistance adéquats</w:t>
      </w:r>
      <w:r w:rsidR="007E1FEB" w:rsidRPr="002A350B">
        <w:rPr>
          <w:lang w:val="fr-FR"/>
        </w:rPr>
        <w:t>.</w:t>
      </w:r>
      <w:r w:rsidR="007E1FEB" w:rsidRPr="007E1FEB">
        <w:rPr>
          <w:lang w:val="fr-FR"/>
        </w:rPr>
        <w:t xml:space="preserve"> Lorsque les travailleurs peuvent s’organiser — en particulier dans les secteurs non organisés tels que le travail domestique, l’agriculture familiale et les services informels — ils peuvent négocier de meilleurs revenus, des conditions de travail plus sûres et une participation plus équitable aux chaînes de valeur. Ces gains ont des implications directes pour le travail des enfants, non seulement en augmentant les revenus des adultes et les moyens de subsistance des familles, mais aussi en protégeant les enfants des travaux dangereux. </w:t>
      </w:r>
      <w:r w:rsidR="00A338BC" w:rsidRPr="00A338BC">
        <w:rPr>
          <w:lang w:val="fr-FR"/>
        </w:rPr>
        <w:t>L’organisation</w:t>
      </w:r>
      <w:r w:rsidR="00A338BC">
        <w:rPr>
          <w:lang w:val="fr-FR"/>
        </w:rPr>
        <w:t>, lorsqu’elle tient compte des questions liées au</w:t>
      </w:r>
      <w:r w:rsidR="00A338BC" w:rsidRPr="00A338BC">
        <w:rPr>
          <w:lang w:val="fr-FR"/>
        </w:rPr>
        <w:t xml:space="preserve"> genre</w:t>
      </w:r>
      <w:r w:rsidR="00A338BC">
        <w:rPr>
          <w:lang w:val="fr-FR"/>
        </w:rPr>
        <w:t>,</w:t>
      </w:r>
      <w:r w:rsidR="00A338BC" w:rsidRPr="00A338BC">
        <w:rPr>
          <w:lang w:val="fr-FR"/>
        </w:rPr>
        <w:t xml:space="preserve"> est particulièrement importante compte tenu de la surreprésentation des femmes dans des secteurs précaires et faiblement rémunérés où le risque de travail des enfants est élevé.</w:t>
      </w:r>
    </w:p>
    <w:p w14:paraId="3E325482" w14:textId="5CA1EA2C" w:rsidR="009807B8" w:rsidRPr="009807B8" w:rsidRDefault="00153C86" w:rsidP="007E1FEB">
      <w:pPr>
        <w:pStyle w:val="NoSpacing"/>
        <w:jc w:val="both"/>
        <w:rPr>
          <w:b/>
          <w:bCs/>
          <w:lang w:val="fr-FR"/>
        </w:rPr>
      </w:pPr>
      <w:r w:rsidRPr="00153C86">
        <w:t xml:space="preserve">Ces dernières années, on a constaté une forte augmentation du nombre d’initiatives volontaires en faveur d’un salaire </w:t>
      </w:r>
      <w:r w:rsidR="00EF7525">
        <w:t>vital</w:t>
      </w:r>
      <w:r w:rsidRPr="00153C86">
        <w:t>, y compris de la part d’entreprises multinationales, qui pourraient contribuer à la réduction du travail des enfants</w:t>
      </w:r>
      <w:r w:rsidR="007E1FEB" w:rsidRPr="007E1FEB">
        <w:rPr>
          <w:lang w:val="fr-FR"/>
        </w:rPr>
        <w:t xml:space="preserve">. Il est cependant important que ces initiatives s’alignent sur le processus plus large de fixation des salaires fondé sur les principes de l’OIT, incluant la négociation collective et le dialogue social bipartite et tripartite. Il est également impératif que ces initiatives prennent en compte les besoins des travailleurs et de leurs familles ainsi que les facteurs économiques, en abordant notamment les causes profondes des bas salaires et la capacité des entreprises à rémunérer leurs employés. Lorsque les pratiques d’achat, les mécanismes de fixation des salaires tels que la négociation collective ou le salaire minimum, et les systèmes de protection sociale sont alignés pour garantir que les travailleurs adultes gagnent suffisamment pour vivre dignement, les familles sont moins vulnérables et le travail des enfants </w:t>
      </w:r>
      <w:r>
        <w:rPr>
          <w:lang w:val="fr-FR"/>
        </w:rPr>
        <w:t>diminue</w:t>
      </w:r>
      <w:r w:rsidR="007E1FEB" w:rsidRPr="007E1FEB">
        <w:rPr>
          <w:lang w:val="fr-FR"/>
        </w:rPr>
        <w:t xml:space="preserve">. Ainsi, les salaires </w:t>
      </w:r>
      <w:r w:rsidR="00EF7525">
        <w:rPr>
          <w:lang w:val="fr-FR"/>
        </w:rPr>
        <w:t>vitaux</w:t>
      </w:r>
      <w:r w:rsidR="007E1FEB" w:rsidRPr="007E1FEB">
        <w:rPr>
          <w:lang w:val="fr-FR"/>
        </w:rPr>
        <w:t xml:space="preserve"> constituent une voie puissante et nécessaire pour mettre fin au travail des enfants, promouvoir la justice sociale et permettre aux enfants de réaliser leur droit à l’éducation et à un avenir meilleur.</w:t>
      </w:r>
    </w:p>
    <w:p w14:paraId="2E2C52D7" w14:textId="77777777" w:rsidR="00116AE3" w:rsidRPr="00116AE3" w:rsidRDefault="00116AE3" w:rsidP="00116AE3">
      <w:pPr>
        <w:pStyle w:val="Heading2"/>
        <w:ind w:left="567" w:hanging="283"/>
        <w:rPr>
          <w:color w:val="ED7D31" w:themeColor="accent2"/>
          <w:sz w:val="36"/>
          <w:szCs w:val="32"/>
          <w:lang w:val="en-US"/>
        </w:rPr>
      </w:pPr>
      <w:r w:rsidRPr="00116AE3">
        <w:rPr>
          <w:color w:val="ED7D31" w:themeColor="accent2"/>
          <w:sz w:val="36"/>
          <w:szCs w:val="32"/>
          <w:lang w:val="en-US"/>
        </w:rPr>
        <w:t xml:space="preserve">Questions </w:t>
      </w:r>
      <w:proofErr w:type="spellStart"/>
      <w:r w:rsidRPr="00116AE3">
        <w:rPr>
          <w:color w:val="ED7D31" w:themeColor="accent2"/>
          <w:sz w:val="36"/>
          <w:szCs w:val="32"/>
          <w:lang w:val="en-US"/>
        </w:rPr>
        <w:t>abordées</w:t>
      </w:r>
      <w:proofErr w:type="spellEnd"/>
      <w:r w:rsidRPr="00116AE3">
        <w:rPr>
          <w:color w:val="ED7D31" w:themeColor="accent2"/>
          <w:sz w:val="36"/>
          <w:szCs w:val="32"/>
          <w:lang w:val="en-US"/>
        </w:rPr>
        <w:t xml:space="preserve"> </w:t>
      </w:r>
    </w:p>
    <w:p w14:paraId="121541DF" w14:textId="29880CAC" w:rsidR="009807B8" w:rsidRDefault="009807B8" w:rsidP="009807B8">
      <w:pPr>
        <w:pStyle w:val="NoSpacing"/>
        <w:jc w:val="both"/>
        <w:rPr>
          <w:lang w:val="fr-FR"/>
        </w:rPr>
      </w:pPr>
      <w:r w:rsidRPr="007E1FEB">
        <w:rPr>
          <w:lang w:val="fr-FR"/>
        </w:rPr>
        <w:t>La session mettra en lumière comment le renforcement du travail décent pour les adultes — grâce à une voix plus forte et des moyens de subsistance améliorés — offre une voie puissante pour mettre fin au travail des enfants.</w:t>
      </w:r>
      <w:r w:rsidRPr="007E1FEB">
        <w:rPr>
          <w:lang w:val="fr-FR"/>
        </w:rPr>
        <w:br/>
        <w:t xml:space="preserve">Elle explorera également les expériences de promotion des salaires </w:t>
      </w:r>
      <w:r w:rsidR="00EF7525">
        <w:rPr>
          <w:lang w:val="fr-FR"/>
        </w:rPr>
        <w:t>vitaux</w:t>
      </w:r>
      <w:r w:rsidRPr="007E1FEB">
        <w:rPr>
          <w:lang w:val="fr-FR"/>
        </w:rPr>
        <w:t xml:space="preserve"> et de l’amélioration des moyens de subsistance des adultes comme leviers transformateurs pour lutter contre le travail des enfants, en réduisant les </w:t>
      </w:r>
      <w:r w:rsidRPr="007E1FEB">
        <w:rPr>
          <w:lang w:val="fr-FR"/>
        </w:rPr>
        <w:lastRenderedPageBreak/>
        <w:t xml:space="preserve">pressions économiques qui poussent les familles à recourir au travail des enfants. La session illustrera comment ces initiatives peuvent renforcer la résilience des familles, soutenir la scolarisation des enfants et permettre aux ménages de s’éloigner des stratégies de survie nuisibles. Au cœur de cette discussion se trouvera l’importance de la voix collective des travailleurs, fondée sur la réalisation de la liberté d’association et la reconnaissance effective du droit à la négociation collective et à la représentation des intérêts collectifs, afin d’obtenir une rémunération équitable, d’améliorer les conditions de travail et de protéger les enfants contre les formes de travail dangereuses, en tenant compte des contextes locaux, des causes profondes des bas salaires et des facteurs économiques. La session pourra également aborder les efforts visant à promouvoir plus largement les salaires et revenus </w:t>
      </w:r>
      <w:r w:rsidR="00EF7525">
        <w:rPr>
          <w:lang w:val="fr-FR"/>
        </w:rPr>
        <w:t>vitaux</w:t>
      </w:r>
      <w:r w:rsidRPr="007E1FEB">
        <w:rPr>
          <w:lang w:val="fr-FR"/>
        </w:rPr>
        <w:t>, conformément aux principes de l’OIT.</w:t>
      </w:r>
    </w:p>
    <w:p w14:paraId="72FF4DF6" w14:textId="77777777" w:rsidR="009807B8" w:rsidRDefault="009807B8" w:rsidP="009807B8">
      <w:pPr>
        <w:pStyle w:val="NoSpacing"/>
        <w:jc w:val="both"/>
        <w:rPr>
          <w:lang w:val="fr-CH"/>
        </w:rPr>
      </w:pPr>
    </w:p>
    <w:p w14:paraId="763CB5BE" w14:textId="5A377861" w:rsidR="009807B8" w:rsidRPr="009807B8" w:rsidRDefault="009807B8" w:rsidP="007E1FEB">
      <w:pPr>
        <w:pStyle w:val="NoSpacing"/>
        <w:jc w:val="both"/>
        <w:rPr>
          <w:b/>
          <w:bCs/>
          <w:u w:val="single"/>
          <w:lang w:val="fr-CH"/>
        </w:rPr>
      </w:pPr>
      <w:r w:rsidRPr="009807B8">
        <w:rPr>
          <w:b/>
          <w:bCs/>
          <w:u w:val="single"/>
          <w:lang w:val="fr-CH"/>
        </w:rPr>
        <w:t xml:space="preserve">Points </w:t>
      </w:r>
      <w:r w:rsidR="00153C86">
        <w:rPr>
          <w:b/>
          <w:bCs/>
          <w:u w:val="single"/>
          <w:lang w:val="fr-CH"/>
        </w:rPr>
        <w:t>c</w:t>
      </w:r>
      <w:r w:rsidRPr="009807B8">
        <w:rPr>
          <w:b/>
          <w:bCs/>
          <w:u w:val="single"/>
          <w:lang w:val="fr-CH"/>
        </w:rPr>
        <w:t>lés pour la discussion :</w:t>
      </w:r>
    </w:p>
    <w:p w14:paraId="14A34756" w14:textId="101E5201" w:rsidR="007E1FEB" w:rsidRPr="007E1FEB" w:rsidRDefault="007E1FEB" w:rsidP="007E1FEB">
      <w:pPr>
        <w:pStyle w:val="NoSpacing"/>
        <w:jc w:val="both"/>
        <w:rPr>
          <w:lang w:val="fr-FR"/>
        </w:rPr>
      </w:pPr>
      <w:r w:rsidRPr="007E1FEB">
        <w:rPr>
          <w:lang w:val="fr-FR"/>
        </w:rPr>
        <w:t>La relation entre revenus insuffisants des adultes, vulnérabilité économique et persistance du travail des enfants, en particulier dans les économies informelles et rurales.</w:t>
      </w:r>
    </w:p>
    <w:p w14:paraId="56F4689C" w14:textId="4FBEA738" w:rsidR="007E1FEB" w:rsidRPr="007E1FEB" w:rsidRDefault="007E1FEB" w:rsidP="007E1FEB">
      <w:pPr>
        <w:pStyle w:val="NoSpacing"/>
        <w:jc w:val="both"/>
        <w:rPr>
          <w:lang w:val="fr-FR"/>
        </w:rPr>
      </w:pPr>
      <w:r w:rsidRPr="007E1FEB">
        <w:rPr>
          <w:lang w:val="fr-FR"/>
        </w:rPr>
        <w:t xml:space="preserve">Le rôle des salaires </w:t>
      </w:r>
      <w:r w:rsidR="00EF7525">
        <w:rPr>
          <w:lang w:val="fr-FR"/>
        </w:rPr>
        <w:t>vitaux</w:t>
      </w:r>
      <w:r w:rsidRPr="007E1FEB">
        <w:rPr>
          <w:lang w:val="fr-FR"/>
        </w:rPr>
        <w:t xml:space="preserve"> pour réduire la dépendance des ménages au travail des enfants et renforcer les voies vers le travail décent.</w:t>
      </w:r>
    </w:p>
    <w:p w14:paraId="795E159D" w14:textId="77777777" w:rsidR="007E1FEB" w:rsidRPr="007E1FEB" w:rsidRDefault="007E1FEB" w:rsidP="007E1FEB">
      <w:pPr>
        <w:pStyle w:val="NoSpacing"/>
        <w:jc w:val="both"/>
        <w:rPr>
          <w:lang w:val="fr-FR"/>
        </w:rPr>
      </w:pPr>
      <w:r w:rsidRPr="007E1FEB">
        <w:rPr>
          <w:lang w:val="fr-FR"/>
        </w:rPr>
        <w:t xml:space="preserve">Les expériences d’extension de la voix des travailleurs, de l’organisation collective et de la négociation collective démocratique pour obtenir une rémunération équitable, des conditions de travail plus sûres et réduire la pression exercée sur les enfants ; </w:t>
      </w:r>
      <w:bookmarkStart w:id="0" w:name="_Hlk217065606"/>
      <w:r w:rsidRPr="007E1FEB">
        <w:rPr>
          <w:lang w:val="fr-FR"/>
        </w:rPr>
        <w:t>et promouvoir le droit syndical et l’accès aux syndicats</w:t>
      </w:r>
      <w:bookmarkEnd w:id="0"/>
      <w:r w:rsidRPr="007E1FEB">
        <w:rPr>
          <w:lang w:val="fr-FR"/>
        </w:rPr>
        <w:t xml:space="preserve"> ; </w:t>
      </w:r>
    </w:p>
    <w:p w14:paraId="29702C49" w14:textId="77777777" w:rsidR="007E1FEB" w:rsidRPr="007E1FEB" w:rsidRDefault="007E1FEB" w:rsidP="007E1FEB">
      <w:pPr>
        <w:pStyle w:val="NoSpacing"/>
        <w:jc w:val="both"/>
        <w:rPr>
          <w:lang w:val="fr-FR"/>
        </w:rPr>
      </w:pPr>
      <w:r w:rsidRPr="007E1FEB">
        <w:rPr>
          <w:lang w:val="fr-FR"/>
        </w:rPr>
        <w:t>Les obstacles spécifiques liés au genre pour obtenir un salaire équitable et une représentation, et comment l’organisation et la fixation des salaires sensibles au genre peuvent réduire les risques de travail des enfants.</w:t>
      </w:r>
    </w:p>
    <w:p w14:paraId="4F5FB6EC" w14:textId="37BCD523" w:rsidR="007E1FEB" w:rsidRPr="007E1FEB" w:rsidRDefault="007E1FEB" w:rsidP="007E1FEB">
      <w:pPr>
        <w:pStyle w:val="NoSpacing"/>
        <w:jc w:val="both"/>
        <w:rPr>
          <w:lang w:val="fr-FR"/>
        </w:rPr>
      </w:pPr>
      <w:r w:rsidRPr="007E1FEB">
        <w:rPr>
          <w:lang w:val="fr-FR"/>
        </w:rPr>
        <w:t xml:space="preserve">Les expériences des gouvernements, employeurs et leurs organisations, syndicats et acteurs des chaînes de valeur dans la mise en œuvre d’initiatives de salaire </w:t>
      </w:r>
      <w:r w:rsidR="00EF7525">
        <w:rPr>
          <w:lang w:val="fr-FR"/>
        </w:rPr>
        <w:t>vital</w:t>
      </w:r>
      <w:r w:rsidRPr="007E1FEB">
        <w:rPr>
          <w:lang w:val="fr-FR"/>
        </w:rPr>
        <w:t xml:space="preserve"> pour réduire la dépendance des familles au travail des enfants. </w:t>
      </w:r>
    </w:p>
    <w:p w14:paraId="74710985" w14:textId="475ED299" w:rsidR="00CD7B33" w:rsidRPr="007E1FEB" w:rsidRDefault="007E1FEB" w:rsidP="009807B8">
      <w:pPr>
        <w:pStyle w:val="NoSpacing"/>
        <w:jc w:val="both"/>
        <w:rPr>
          <w:lang w:val="fr-FR"/>
        </w:rPr>
      </w:pPr>
      <w:r w:rsidRPr="007E1FEB">
        <w:rPr>
          <w:lang w:val="fr-FR"/>
        </w:rPr>
        <w:t xml:space="preserve">Les opportunités pour améliorer les initiatives existantes conformément aux principes de l’OIT en matière de fixation des salaires et les intégrer dans les politiques nationales sur le travail des enfants. </w:t>
      </w:r>
    </w:p>
    <w:sectPr w:rsidR="00CD7B33" w:rsidRPr="007E1FEB" w:rsidSect="00116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3EDF" w14:textId="77777777" w:rsidR="00E409C7" w:rsidRDefault="00E409C7" w:rsidP="003F14C5">
      <w:r>
        <w:separator/>
      </w:r>
    </w:p>
  </w:endnote>
  <w:endnote w:type="continuationSeparator" w:id="0">
    <w:p w14:paraId="543FFE04" w14:textId="77777777" w:rsidR="00E409C7" w:rsidRDefault="00E409C7"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28DC"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60288" behindDoc="0" locked="0" layoutInCell="1" allowOverlap="1" wp14:anchorId="569EB848" wp14:editId="22107F85">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C055C"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418A5378"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AF13" w14:textId="77777777" w:rsidR="00E409C7" w:rsidRDefault="00E409C7" w:rsidP="003F14C5">
      <w:r>
        <w:separator/>
      </w:r>
    </w:p>
  </w:footnote>
  <w:footnote w:type="continuationSeparator" w:id="0">
    <w:p w14:paraId="5F1C376D" w14:textId="77777777" w:rsidR="00E409C7" w:rsidRDefault="00E409C7"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70" w14:textId="77777777" w:rsidR="003F14C5" w:rsidRPr="003B7005" w:rsidRDefault="001C299A" w:rsidP="003B7005">
    <w:pPr>
      <w:pStyle w:val="Header"/>
    </w:pPr>
    <w:r>
      <w:rPr>
        <w:noProof/>
      </w:rPr>
      <w:drawing>
        <wp:anchor distT="0" distB="0" distL="114300" distR="114300" simplePos="0" relativeHeight="251661312" behindDoc="1" locked="0" layoutInCell="1" allowOverlap="1" wp14:anchorId="3EB00374" wp14:editId="018140C7">
          <wp:simplePos x="0" y="0"/>
          <wp:positionH relativeFrom="column">
            <wp:posOffset>-892239</wp:posOffset>
          </wp:positionH>
          <wp:positionV relativeFrom="paragraph">
            <wp:posOffset>-442024</wp:posOffset>
          </wp:positionV>
          <wp:extent cx="7541911" cy="10667747"/>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6073" cy="1067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B70"/>
    <w:multiLevelType w:val="multilevel"/>
    <w:tmpl w:val="0E6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307F9"/>
    <w:multiLevelType w:val="hybridMultilevel"/>
    <w:tmpl w:val="E0B4F1FA"/>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015919">
    <w:abstractNumId w:val="3"/>
  </w:num>
  <w:num w:numId="2" w16cid:durableId="1906603929">
    <w:abstractNumId w:val="2"/>
  </w:num>
  <w:num w:numId="3" w16cid:durableId="1595361890">
    <w:abstractNumId w:val="1"/>
  </w:num>
  <w:num w:numId="4" w16cid:durableId="951396683">
    <w:abstractNumId w:val="6"/>
  </w:num>
  <w:num w:numId="5" w16cid:durableId="1596747021">
    <w:abstractNumId w:val="4"/>
  </w:num>
  <w:num w:numId="6" w16cid:durableId="1927575323">
    <w:abstractNumId w:val="5"/>
  </w:num>
  <w:num w:numId="7" w16cid:durableId="189488970">
    <w:abstractNumId w:val="1"/>
  </w:num>
  <w:num w:numId="8" w16cid:durableId="1480540944">
    <w:abstractNumId w:val="1"/>
  </w:num>
  <w:num w:numId="9" w16cid:durableId="159897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31D75"/>
    <w:rsid w:val="000469B8"/>
    <w:rsid w:val="00106E49"/>
    <w:rsid w:val="00112680"/>
    <w:rsid w:val="00116AE3"/>
    <w:rsid w:val="00153C86"/>
    <w:rsid w:val="00172DB3"/>
    <w:rsid w:val="00191DB6"/>
    <w:rsid w:val="00193155"/>
    <w:rsid w:val="001A0BCF"/>
    <w:rsid w:val="001B08F6"/>
    <w:rsid w:val="001C299A"/>
    <w:rsid w:val="001F2F48"/>
    <w:rsid w:val="00292D94"/>
    <w:rsid w:val="002A350B"/>
    <w:rsid w:val="002E036B"/>
    <w:rsid w:val="00320E73"/>
    <w:rsid w:val="00322A3C"/>
    <w:rsid w:val="00333D72"/>
    <w:rsid w:val="00361FC7"/>
    <w:rsid w:val="003735C1"/>
    <w:rsid w:val="003B7005"/>
    <w:rsid w:val="003F14C5"/>
    <w:rsid w:val="00400DED"/>
    <w:rsid w:val="0042535A"/>
    <w:rsid w:val="00451E32"/>
    <w:rsid w:val="004615B4"/>
    <w:rsid w:val="004F6974"/>
    <w:rsid w:val="00511C71"/>
    <w:rsid w:val="00516A1D"/>
    <w:rsid w:val="00517C95"/>
    <w:rsid w:val="00611390"/>
    <w:rsid w:val="00632B80"/>
    <w:rsid w:val="0063633D"/>
    <w:rsid w:val="006540C1"/>
    <w:rsid w:val="00685DC4"/>
    <w:rsid w:val="006D2439"/>
    <w:rsid w:val="00711690"/>
    <w:rsid w:val="00715E49"/>
    <w:rsid w:val="007177AB"/>
    <w:rsid w:val="00731442"/>
    <w:rsid w:val="007904BA"/>
    <w:rsid w:val="007B2EC3"/>
    <w:rsid w:val="007E0A57"/>
    <w:rsid w:val="007E1FEB"/>
    <w:rsid w:val="008448E4"/>
    <w:rsid w:val="00866A5D"/>
    <w:rsid w:val="008769C3"/>
    <w:rsid w:val="00965D50"/>
    <w:rsid w:val="009807B8"/>
    <w:rsid w:val="00A338BC"/>
    <w:rsid w:val="00A36C83"/>
    <w:rsid w:val="00A4134F"/>
    <w:rsid w:val="00AA0AF8"/>
    <w:rsid w:val="00AE0240"/>
    <w:rsid w:val="00AE30F0"/>
    <w:rsid w:val="00B13886"/>
    <w:rsid w:val="00B63C5F"/>
    <w:rsid w:val="00B94175"/>
    <w:rsid w:val="00BA1338"/>
    <w:rsid w:val="00C22BCD"/>
    <w:rsid w:val="00C324FF"/>
    <w:rsid w:val="00C733E3"/>
    <w:rsid w:val="00C8273C"/>
    <w:rsid w:val="00CB6031"/>
    <w:rsid w:val="00CD7B33"/>
    <w:rsid w:val="00D53BBE"/>
    <w:rsid w:val="00D61274"/>
    <w:rsid w:val="00D910C4"/>
    <w:rsid w:val="00DA6D62"/>
    <w:rsid w:val="00DF4D69"/>
    <w:rsid w:val="00E16D2A"/>
    <w:rsid w:val="00E204BF"/>
    <w:rsid w:val="00E32B58"/>
    <w:rsid w:val="00E409C7"/>
    <w:rsid w:val="00E91D5C"/>
    <w:rsid w:val="00E973B1"/>
    <w:rsid w:val="00EA6DE7"/>
    <w:rsid w:val="00EC6AF9"/>
    <w:rsid w:val="00EF7525"/>
    <w:rsid w:val="00F436D2"/>
    <w:rsid w:val="00FE6B4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7C32"/>
  <w15:chartTrackingRefBased/>
  <w15:docId w15:val="{21DCF70A-0074-A348-A59A-FB585512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9"/>
    <w:pPr>
      <w:spacing w:before="120" w:after="120"/>
      <w:jc w:val="lowKashida"/>
    </w:pPr>
  </w:style>
  <w:style w:type="paragraph" w:styleId="Heading1">
    <w:name w:val="heading 1"/>
    <w:basedOn w:val="Normal"/>
    <w:link w:val="Heading1Char"/>
    <w:uiPriority w:val="9"/>
    <w:qFormat/>
    <w:rsid w:val="00715E49"/>
    <w:pPr>
      <w:spacing w:before="240" w:after="240"/>
      <w:jc w:val="left"/>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715E49"/>
    <w:pPr>
      <w:keepNext/>
      <w:keepLines/>
      <w:numPr>
        <w:numId w:val="3"/>
      </w:numPr>
      <w:spacing w:before="360"/>
      <w:jc w:val="left"/>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715E49"/>
    <w:pPr>
      <w:keepNext/>
      <w:keepLines/>
      <w:numPr>
        <w:numId w:val="4"/>
      </w:numPr>
      <w:spacing w:before="360"/>
      <w:ind w:left="714" w:hanging="357"/>
      <w:jc w:val="left"/>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9"/>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715E49"/>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715E49"/>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715E49"/>
    <w:pPr>
      <w:spacing w:before="120" w:after="120"/>
    </w:pPr>
    <w:rPr>
      <w:color w:val="006A6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6085</Characters>
  <Application>Microsoft Office Word</Application>
  <DocSecurity>0</DocSecurity>
  <Lines>106</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Osseiran, Nadine</cp:lastModifiedBy>
  <cp:revision>2</cp:revision>
  <cp:lastPrinted>2025-12-12T19:16:00Z</cp:lastPrinted>
  <dcterms:created xsi:type="dcterms:W3CDTF">2026-02-06T15:07:00Z</dcterms:created>
  <dcterms:modified xsi:type="dcterms:W3CDTF">2026-02-06T15:07:00Z</dcterms:modified>
</cp:coreProperties>
</file>